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Akamai Cloud Compliance</w:t>
        <w:br/>
        <w:t>Program Interview Brief</w:t>
      </w:r>
    </w:p>
    <w:p>
      <w:pPr>
        <w:pStyle w:val="Subtitle"/>
      </w:pPr>
      <w:r>
        <w:t>Linode integration research and a proposed delivery plan</w:t>
      </w:r>
    </w:p>
    <w:p>
      <w:r>
        <w:t>Prepared 15 September 2026</w:t>
      </w:r>
    </w:p>
    <w:p>
      <w:r>
        <w:t>The strongest approach is to present this role as the coordination of a continuing cloud assurance program: establish the exact service and regulatory scope, convert requirements into engineering work, prove that controls operate, and keep that proof current as the platform changes.</w:t>
      </w:r>
    </w:p>
    <w:p>
      <w:pPr>
        <w:pStyle w:val="Heading2"/>
      </w:pPr>
      <w:r>
        <w:t>The findings that matter most</w:t>
      </w:r>
    </w:p>
    <w:p>
      <w:pPr>
        <w:pStyle w:val="ListBullet"/>
      </w:pPr>
      <w:r>
        <w:t>The acquisition is established history. Akamai completed its approximately $900 million Linode acquisition on 21 March 2022. Today's question is how the expanded cloud business earns and maintains customer trust. [1]</w:t>
      </w:r>
    </w:p>
    <w:p>
      <w:pPr>
        <w:pStyle w:val="ListBullet"/>
      </w:pPr>
      <w:r>
        <w:t>There is already a substantial compliance foundation. The published ISO/IEC 27001:2022 certificate explicitly includes Akamai Cloud Computing Services, also known as Linode. [4]</w:t>
      </w:r>
    </w:p>
    <w:p>
      <w:pPr>
        <w:pStyle w:val="ListBullet"/>
      </w:pPr>
      <w:r>
        <w:t>Audit scope deserves particular attention. The live Trust Center lists a 2025 cloud SOC 2 Type 1 report with C5, updated 29 June 2026. The underlying report requires access. Confirm the current Type 2 status and roadmap before identifying a gap. [6]</w:t>
      </w:r>
    </w:p>
    <w:p>
      <w:pPr>
        <w:pStyle w:val="ListBullet"/>
      </w:pPr>
      <w:r>
        <w:t>A closely matching employer posting emphasizes ISO 27001, C5 Type 2, NIS2, SOC 2 and HIPAA, alongside engineering capacity, measurable delivery and influence across teams. [7]</w:t>
      </w:r>
    </w:p>
    <w:p>
      <w:pPr>
        <w:pStyle w:val="Heading2"/>
      </w:pPr>
      <w:r>
        <w:t>The recommended program thesis</w:t>
      </w:r>
    </w:p>
    <w:p>
      <w:r>
        <w:t>Build one common control and evidence model, with explicit service and regional boundaries and framework-specific additions. Use shared evidence where the scope and test requirements permit it. Give engineering leaders ownership of implementation, compliance leaders ownership of interpretation and assurance, and the program manager ownership of dependencies, decisions and delivery visibility.</w:t>
      </w:r>
    </w:p>
    <w:p>
      <w:pPr>
        <w:pStyle w:val="Heading2"/>
      </w:pPr>
      <w:r>
        <w:t>A useful opening for the assignment</w:t>
      </w:r>
    </w:p>
    <w:p>
      <w:r>
        <w:t>I would begin by agreeing which services, regions and customer commitments are in scope, then validate the existing reports and control coverage. I would turn the remaining requirements into funded engineering work with named owners and measurable acceptance criteria. The first 90 days would establish a defensible baseline, close the most consequential gaps and put the required operating evidence on a reliable schedule. Assessment milestones would follow the agreed scope, readiness and evidence period.</w:t>
      </w:r>
    </w:p>
    <w:p>
      <w:pPr>
        <w:spacing w:after="160"/>
      </w:pPr>
      <w:r>
        <w:rPr>
          <w:sz w:val="18"/>
        </w:rPr>
        <w:t>Public facts are referenced by number. Proposed activities, milestones and examples are recommendations, not statements about Akamai's internal systems or audit results.</w:t>
      </w:r>
    </w:p>
    <w:p>
      <w:pPr>
        <w:pStyle w:val="Heading1"/>
        <w:pageBreakBefore/>
      </w:pPr>
      <w:r>
        <w:t>1  Acquisition and business context</w:t>
      </w:r>
    </w:p>
    <w:tbl>
      <w:tblPr>
        <w:tblW w:type="auto" w:w="0"/>
        <w:jc w:val="center"/>
        <w:tblLayout w:type="fixed"/>
        <w:tblLook w:firstColumn="1" w:firstRow="1" w:lastColumn="0" w:lastRow="0" w:noHBand="0" w:noVBand="1" w:val="04A0"/>
        <w:tblBorders>
          <w:top w:val="single" w:sz="5" w:color="D9D9D9"/>
          <w:left w:val="single" w:sz="5" w:color="D9D9D9"/>
          <w:bottom w:val="single" w:sz="5" w:color="D9D9D9"/>
          <w:right w:val="single" w:sz="5" w:color="D9D9D9"/>
          <w:insideH w:val="single" w:sz="5" w:color="D9D9D9"/>
          <w:insideV w:val="single" w:sz="5" w:color="D9D9D9"/>
        </w:tblBorders>
      </w:tblPr>
      <w:tblGrid>
        <w:gridCol w:w="1613"/>
        <w:gridCol w:w="4219"/>
        <w:gridCol w:w="4306"/>
      </w:tblGrid>
      <w:tr>
        <w:trPr>
          <w:cantSplit/>
          <w:tblHeader/>
        </w:trPr>
        <w:tc>
          <w:tcPr>
            <w:tcW w:type="dxa" w:w="1613"/>
            <w:vAlign w:val="center"/>
            <w:tcMar>
              <w:top w:w="95" w:type="dxa"/>
              <w:bottom w:w="95" w:type="dxa"/>
              <w:left w:w="95" w:type="dxa"/>
              <w:right w:w="95" w:type="dxa"/>
            </w:tcMar>
            <w:shd w:fill="17364D"/>
          </w:tcPr>
          <w:p>
            <w:pPr>
              <w:keepNext w:val="0"/>
              <w:spacing w:after="40" w:before="40" w:line="245" w:lineRule="auto"/>
            </w:pPr>
            <w:r>
              <w:rPr>
                <w:b/>
                <w:color w:val="FFFFFF"/>
                <w:sz w:val="19"/>
              </w:rPr>
              <w:t>Milestone</w:t>
            </w:r>
          </w:p>
        </w:tc>
        <w:tc>
          <w:tcPr>
            <w:tcW w:type="dxa" w:w="4219"/>
            <w:vAlign w:val="center"/>
            <w:tcMar>
              <w:top w:w="95" w:type="dxa"/>
              <w:bottom w:w="95" w:type="dxa"/>
              <w:left w:w="95" w:type="dxa"/>
              <w:right w:w="95" w:type="dxa"/>
            </w:tcMar>
            <w:shd w:fill="17364D"/>
          </w:tcPr>
          <w:p>
            <w:pPr>
              <w:keepNext w:val="0"/>
              <w:spacing w:after="40" w:before="40" w:line="245" w:lineRule="auto"/>
            </w:pPr>
            <w:r>
              <w:rPr>
                <w:b/>
                <w:color w:val="FFFFFF"/>
                <w:sz w:val="19"/>
              </w:rPr>
              <w:t>What happened</w:t>
            </w:r>
          </w:p>
        </w:tc>
        <w:tc>
          <w:tcPr>
            <w:tcW w:type="dxa" w:w="4306"/>
            <w:vAlign w:val="center"/>
            <w:tcMar>
              <w:top w:w="95" w:type="dxa"/>
              <w:bottom w:w="95" w:type="dxa"/>
              <w:left w:w="95" w:type="dxa"/>
              <w:right w:w="95" w:type="dxa"/>
            </w:tcMar>
            <w:shd w:fill="17364D"/>
          </w:tcPr>
          <w:p>
            <w:pPr>
              <w:keepNext w:val="0"/>
              <w:spacing w:after="40" w:before="40" w:line="245" w:lineRule="auto"/>
            </w:pPr>
            <w:r>
              <w:rPr>
                <w:b/>
                <w:color w:val="FFFFFF"/>
                <w:sz w:val="19"/>
              </w:rPr>
              <w:t>Preparation implication</w:t>
            </w:r>
          </w:p>
        </w:tc>
      </w:tr>
      <w:tr>
        <w:trPr>
          <w:cantSplit/>
        </w:trPr>
        <w:tc>
          <w:tcPr>
            <w:tcW w:type="dxa" w:w="1613"/>
            <w:vAlign w:val="center"/>
            <w:tcMar>
              <w:top w:w="95" w:type="dxa"/>
              <w:bottom w:w="95" w:type="dxa"/>
              <w:left w:w="95" w:type="dxa"/>
              <w:right w:w="95" w:type="dxa"/>
            </w:tcMar>
            <w:shd w:fill="FFFFFF"/>
          </w:tcPr>
          <w:p>
            <w:pPr>
              <w:keepNext w:val="0"/>
              <w:spacing w:after="40" w:before="40" w:line="245" w:lineRule="auto"/>
            </w:pPr>
            <w:r>
              <w:rPr>
                <w:b w:val="0"/>
                <w:color w:val="000000"/>
                <w:sz w:val="19"/>
              </w:rPr>
              <w:t>February to March 2022</w:t>
            </w:r>
          </w:p>
        </w:tc>
        <w:tc>
          <w:tcPr>
            <w:tcW w:type="dxa" w:w="4219"/>
            <w:vAlign w:val="center"/>
            <w:tcMar>
              <w:top w:w="95" w:type="dxa"/>
              <w:bottom w:w="95" w:type="dxa"/>
              <w:left w:w="95" w:type="dxa"/>
              <w:right w:w="95" w:type="dxa"/>
            </w:tcMar>
            <w:shd w:fill="FFFFFF"/>
          </w:tcPr>
          <w:p>
            <w:pPr>
              <w:keepNext w:val="0"/>
              <w:spacing w:after="40" w:before="40" w:line="245" w:lineRule="auto"/>
            </w:pPr>
            <w:r>
              <w:rPr>
                <w:b w:val="0"/>
                <w:color w:val="000000"/>
                <w:sz w:val="19"/>
              </w:rPr>
              <w:t>Acquisition announced on 15 February and completed on 21 March for approximately $900 million. [1]</w:t>
            </w:r>
          </w:p>
        </w:tc>
        <w:tc>
          <w:tcPr>
            <w:tcW w:type="dxa" w:w="4306"/>
            <w:vAlign w:val="center"/>
            <w:tcMar>
              <w:top w:w="95" w:type="dxa"/>
              <w:bottom w:w="95" w:type="dxa"/>
              <w:left w:w="95" w:type="dxa"/>
              <w:right w:w="95" w:type="dxa"/>
            </w:tcMar>
            <w:shd w:fill="FFFFFF"/>
          </w:tcPr>
          <w:p>
            <w:pPr>
              <w:keepNext w:val="0"/>
              <w:spacing w:after="40" w:before="40" w:line="245" w:lineRule="auto"/>
            </w:pPr>
            <w:r>
              <w:rPr>
                <w:b w:val="0"/>
                <w:color w:val="000000"/>
                <w:sz w:val="19"/>
              </w:rPr>
              <w:t>Use the correct chronology. Avoid presenting a 2026 program as initial deal integration.</w:t>
            </w:r>
          </w:p>
        </w:tc>
      </w:tr>
      <w:tr>
        <w:trPr>
          <w:cantSplit/>
        </w:trPr>
        <w:tc>
          <w:tcPr>
            <w:tcW w:type="dxa" w:w="1613"/>
            <w:vAlign w:val="center"/>
            <w:tcMar>
              <w:top w:w="95" w:type="dxa"/>
              <w:bottom w:w="95" w:type="dxa"/>
              <w:left w:w="95" w:type="dxa"/>
              <w:right w:w="95" w:type="dxa"/>
            </w:tcMar>
            <w:shd w:fill="F1F5F7"/>
          </w:tcPr>
          <w:p>
            <w:pPr>
              <w:keepNext w:val="0"/>
              <w:spacing w:after="40" w:before="40" w:line="245" w:lineRule="auto"/>
            </w:pPr>
            <w:r>
              <w:rPr>
                <w:b w:val="0"/>
                <w:color w:val="000000"/>
                <w:sz w:val="19"/>
              </w:rPr>
              <w:t>February 2023</w:t>
            </w:r>
          </w:p>
        </w:tc>
        <w:tc>
          <w:tcPr>
            <w:tcW w:type="dxa" w:w="4219"/>
            <w:vAlign w:val="center"/>
            <w:tcMar>
              <w:top w:w="95" w:type="dxa"/>
              <w:bottom w:w="95" w:type="dxa"/>
              <w:left w:w="95" w:type="dxa"/>
              <w:right w:w="95" w:type="dxa"/>
            </w:tcMar>
            <w:shd w:fill="F1F5F7"/>
          </w:tcPr>
          <w:p>
            <w:pPr>
              <w:keepNext w:val="0"/>
              <w:spacing w:after="40" w:before="40" w:line="245" w:lineRule="auto"/>
            </w:pPr>
            <w:r>
              <w:rPr>
                <w:b w:val="0"/>
                <w:color w:val="000000"/>
                <w:sz w:val="19"/>
              </w:rPr>
              <w:t>Akamai Connected Cloud launched, combining compute, delivery and security. The announcement included new ISO, SOC 2 and HIPAA compliance. [2]</w:t>
            </w:r>
          </w:p>
        </w:tc>
        <w:tc>
          <w:tcPr>
            <w:tcW w:type="dxa" w:w="4306"/>
            <w:vAlign w:val="center"/>
            <w:tcMar>
              <w:top w:w="95" w:type="dxa"/>
              <w:bottom w:w="95" w:type="dxa"/>
              <w:left w:w="95" w:type="dxa"/>
              <w:right w:w="95" w:type="dxa"/>
            </w:tcMar>
            <w:shd w:fill="F1F5F7"/>
          </w:tcPr>
          <w:p>
            <w:pPr>
              <w:keepNext w:val="0"/>
              <w:spacing w:after="40" w:before="40" w:line="245" w:lineRule="auto"/>
            </w:pPr>
            <w:r>
              <w:rPr>
                <w:b w:val="0"/>
                <w:color w:val="000000"/>
                <w:sz w:val="19"/>
              </w:rPr>
              <w:t>Start with existing assurance assets and accountable teams.</w:t>
            </w:r>
          </w:p>
        </w:tc>
      </w:tr>
      <w:tr>
        <w:trPr>
          <w:cantSplit/>
        </w:trPr>
        <w:tc>
          <w:tcPr>
            <w:tcW w:type="dxa" w:w="1613"/>
            <w:vAlign w:val="center"/>
            <w:tcMar>
              <w:top w:w="95" w:type="dxa"/>
              <w:bottom w:w="95" w:type="dxa"/>
              <w:left w:w="95" w:type="dxa"/>
              <w:right w:w="95" w:type="dxa"/>
            </w:tcMar>
            <w:shd w:fill="FFFFFF"/>
          </w:tcPr>
          <w:p>
            <w:pPr>
              <w:keepNext w:val="0"/>
              <w:spacing w:after="40" w:before="40" w:line="245" w:lineRule="auto"/>
            </w:pPr>
            <w:r>
              <w:rPr>
                <w:b w:val="0"/>
                <w:color w:val="000000"/>
                <w:sz w:val="19"/>
              </w:rPr>
              <w:t>October 2025</w:t>
            </w:r>
          </w:p>
        </w:tc>
        <w:tc>
          <w:tcPr>
            <w:tcW w:type="dxa" w:w="4219"/>
            <w:vAlign w:val="center"/>
            <w:tcMar>
              <w:top w:w="95" w:type="dxa"/>
              <w:bottom w:w="95" w:type="dxa"/>
              <w:left w:w="95" w:type="dxa"/>
              <w:right w:w="95" w:type="dxa"/>
            </w:tcMar>
            <w:shd w:fill="FFFFFF"/>
          </w:tcPr>
          <w:p>
            <w:pPr>
              <w:keepNext w:val="0"/>
              <w:spacing w:after="40" w:before="40" w:line="245" w:lineRule="auto"/>
            </w:pPr>
            <w:r>
              <w:rPr>
                <w:b w:val="0"/>
                <w:color w:val="000000"/>
                <w:sz w:val="19"/>
              </w:rPr>
              <w:t>The published ISO certificate records recertification on 3 October 2025 and expiry on 13 October 2028. [4]</w:t>
            </w:r>
          </w:p>
        </w:tc>
        <w:tc>
          <w:tcPr>
            <w:tcW w:type="dxa" w:w="4306"/>
            <w:vAlign w:val="center"/>
            <w:tcMar>
              <w:top w:w="95" w:type="dxa"/>
              <w:bottom w:w="95" w:type="dxa"/>
              <w:left w:w="95" w:type="dxa"/>
              <w:right w:w="95" w:type="dxa"/>
            </w:tcMar>
            <w:shd w:fill="FFFFFF"/>
          </w:tcPr>
          <w:p>
            <w:pPr>
              <w:keepNext w:val="0"/>
              <w:spacing w:after="40" w:before="40" w:line="245" w:lineRule="auto"/>
            </w:pPr>
            <w:r>
              <w:rPr>
                <w:b w:val="0"/>
                <w:color w:val="000000"/>
                <w:sz w:val="19"/>
              </w:rPr>
              <w:t>Plan scope management, surveillance and continued control operation.</w:t>
            </w:r>
          </w:p>
        </w:tc>
      </w:tr>
      <w:tr>
        <w:trPr>
          <w:cantSplit/>
        </w:trPr>
        <w:tc>
          <w:tcPr>
            <w:tcW w:type="dxa" w:w="1613"/>
            <w:vAlign w:val="center"/>
            <w:tcMar>
              <w:top w:w="95" w:type="dxa"/>
              <w:bottom w:w="95" w:type="dxa"/>
              <w:left w:w="95" w:type="dxa"/>
              <w:right w:w="95" w:type="dxa"/>
            </w:tcMar>
            <w:shd w:fill="F1F5F7"/>
          </w:tcPr>
          <w:p>
            <w:pPr>
              <w:keepNext w:val="0"/>
              <w:spacing w:after="40" w:before="40" w:line="245" w:lineRule="auto"/>
            </w:pPr>
            <w:r>
              <w:rPr>
                <w:b w:val="0"/>
                <w:color w:val="000000"/>
                <w:sz w:val="19"/>
              </w:rPr>
              <w:t>August 2026</w:t>
            </w:r>
          </w:p>
        </w:tc>
        <w:tc>
          <w:tcPr>
            <w:tcW w:type="dxa" w:w="4219"/>
            <w:vAlign w:val="center"/>
            <w:tcMar>
              <w:top w:w="95" w:type="dxa"/>
              <w:bottom w:w="95" w:type="dxa"/>
              <w:left w:w="95" w:type="dxa"/>
              <w:right w:w="95" w:type="dxa"/>
            </w:tcMar>
            <w:shd w:fill="F1F5F7"/>
          </w:tcPr>
          <w:p>
            <w:pPr>
              <w:keepNext w:val="0"/>
              <w:spacing w:after="40" w:before="40" w:line="245" w:lineRule="auto"/>
            </w:pPr>
            <w:r>
              <w:rPr>
                <w:b w:val="0"/>
                <w:color w:val="000000"/>
                <w:sz w:val="19"/>
              </w:rPr>
              <w:t>Q2 cloud infrastructure services revenue reached $99 million, up 39% year over year. Akamai announced a new commitment exceeding $600 million over four years. [3]</w:t>
            </w:r>
          </w:p>
        </w:tc>
        <w:tc>
          <w:tcPr>
            <w:tcW w:type="dxa" w:w="4306"/>
            <w:vAlign w:val="center"/>
            <w:tcMar>
              <w:top w:w="95" w:type="dxa"/>
              <w:bottom w:w="95" w:type="dxa"/>
              <w:left w:w="95" w:type="dxa"/>
              <w:right w:w="95" w:type="dxa"/>
            </w:tcMar>
            <w:shd w:fill="F1F5F7"/>
          </w:tcPr>
          <w:p>
            <w:pPr>
              <w:keepNext w:val="0"/>
              <w:spacing w:after="40" w:before="40" w:line="245" w:lineRule="auto"/>
            </w:pPr>
            <w:r>
              <w:rPr>
                <w:b w:val="0"/>
                <w:color w:val="000000"/>
                <w:sz w:val="19"/>
              </w:rPr>
              <w:t>Explain how assurance supports enterprise adoption and contractual commitments.</w:t>
            </w:r>
          </w:p>
        </w:tc>
      </w:tr>
    </w:tbl>
    <w:p>
      <w:pPr>
        <w:spacing w:after="0"/>
      </w:pPr>
      <w:r/>
    </w:p>
    <w:p>
      <w:pPr>
        <w:pStyle w:val="Heading2"/>
      </w:pPr>
      <w:r>
        <w:t>Why acquiring Linode changed the assurance problem</w:t>
      </w:r>
    </w:p>
    <w:p>
      <w:r>
        <w:t>Linode brought a developer-oriented infrastructure platform into a company already serving major enterprises through security and content delivery. Running customer workloads introduces questions about compute isolation, storage, administrative access, control-plane changes, recovery, regional processing and the division of customer and provider duties. Those questions have to be answered for specific offerings and configurations.</w:t>
      </w:r>
    </w:p>
    <w:p>
      <w:r>
        <w:t>Akamai's published shared security model assigns the physical hosts through the hypervisor to the provider and places responsibility for customer-installed applications and code with the customer. Managed services require their own responsibility mapping; the virtual-machine model should not be copied across every product without review. [8]</w:t>
      </w:r>
    </w:p>
    <w:p>
      <w:pPr>
        <w:pStyle w:val="Heading2"/>
      </w:pPr>
      <w:r>
        <w:t>What the current growth means for this role</w:t>
      </w:r>
    </w:p>
    <w:p>
      <w:r>
        <w:t>Analysis: Growing enterprise commitments create pressure for predictable launches, clear regional promises and evidence customers can use in their own assessments. The program manager should connect assurance milestones to the customer and product roadmap, while preserving the independence of assessment conclusions.</w:t>
      </w:r>
    </w:p>
    <w:p>
      <w:r>
        <w:t>The $99 million figure is quarterly cloud infrastructure services revenue. The $600 million figure is a multiyear customer commitment. Neither is Linode's standalone revenue, and the commitment is not revenue already recognized. [3]</w:t>
      </w:r>
    </w:p>
    <w:p>
      <w:pPr>
        <w:pStyle w:val="Heading2"/>
      </w:pPr>
      <w:r>
        <w:t>Terminology to use</w:t>
      </w:r>
    </w:p>
    <w:p>
      <w:r>
        <w:t>Linode is the correct spelling. Current documentation uses Akamai Cloud; older materials use Akamai Connected Cloud and Akamai cloud computing. Use the employer's wording in the assignment, and define the exact service boundary once. A brand name alone is not an audit scope. [9]</w:t>
      </w:r>
    </w:p>
    <w:p>
      <w:pPr>
        <w:pStyle w:val="Heading1"/>
        <w:pageBreakBefore/>
      </w:pPr>
      <w:r>
        <w:t>2  What public evidence establishes</w:t>
      </w:r>
    </w:p>
    <w:p>
      <w:r>
        <w:t>Use this as a starting evidence register. A certificate, report title or marketing statement is useful evidence of a program, but detailed claims must match the applicable scope, configuration, dates and assessment result.</w:t>
      </w:r>
    </w:p>
    <w:tbl>
      <w:tblPr>
        <w:tblW w:type="auto" w:w="0"/>
        <w:jc w:val="center"/>
        <w:tblLayout w:type="fixed"/>
        <w:tblLook w:firstColumn="1" w:firstRow="1" w:lastColumn="0" w:lastRow="0" w:noHBand="0" w:noVBand="1" w:val="04A0"/>
        <w:tblBorders>
          <w:top w:val="single" w:sz="5" w:color="D9D9D9"/>
          <w:left w:val="single" w:sz="5" w:color="D9D9D9"/>
          <w:bottom w:val="single" w:sz="5" w:color="D9D9D9"/>
          <w:right w:val="single" w:sz="5" w:color="D9D9D9"/>
          <w:insideH w:val="single" w:sz="5" w:color="D9D9D9"/>
          <w:insideV w:val="single" w:sz="5" w:color="D9D9D9"/>
        </w:tblBorders>
      </w:tblPr>
      <w:tblGrid>
        <w:gridCol w:w="1613"/>
        <w:gridCol w:w="4262"/>
        <w:gridCol w:w="4262"/>
      </w:tblGrid>
      <w:tr>
        <w:trPr>
          <w:cantSplit/>
          <w:tblHeader/>
        </w:trPr>
        <w:tc>
          <w:tcPr>
            <w:tcW w:type="dxa" w:w="1613"/>
            <w:vAlign w:val="center"/>
            <w:tcMar>
              <w:top w:w="95" w:type="dxa"/>
              <w:bottom w:w="95" w:type="dxa"/>
              <w:left w:w="95" w:type="dxa"/>
              <w:right w:w="95" w:type="dxa"/>
            </w:tcMar>
            <w:shd w:fill="17364D"/>
          </w:tcPr>
          <w:p>
            <w:pPr>
              <w:keepNext w:val="0"/>
              <w:spacing w:after="40" w:before="40" w:line="245" w:lineRule="auto"/>
            </w:pPr>
            <w:r>
              <w:rPr>
                <w:b/>
                <w:color w:val="FFFFFF"/>
                <w:sz w:val="19"/>
              </w:rPr>
              <w:t>Area</w:t>
            </w:r>
          </w:p>
        </w:tc>
        <w:tc>
          <w:tcPr>
            <w:tcW w:type="dxa" w:w="4262"/>
            <w:vAlign w:val="center"/>
            <w:tcMar>
              <w:top w:w="95" w:type="dxa"/>
              <w:bottom w:w="95" w:type="dxa"/>
              <w:left w:w="95" w:type="dxa"/>
              <w:right w:w="95" w:type="dxa"/>
            </w:tcMar>
            <w:shd w:fill="17364D"/>
          </w:tcPr>
          <w:p>
            <w:pPr>
              <w:keepNext w:val="0"/>
              <w:spacing w:after="40" w:before="40" w:line="245" w:lineRule="auto"/>
            </w:pPr>
            <w:r>
              <w:rPr>
                <w:b/>
                <w:color w:val="FFFFFF"/>
                <w:sz w:val="19"/>
              </w:rPr>
              <w:t>Public evidence</w:t>
            </w:r>
          </w:p>
        </w:tc>
        <w:tc>
          <w:tcPr>
            <w:tcW w:type="dxa" w:w="4262"/>
            <w:vAlign w:val="center"/>
            <w:tcMar>
              <w:top w:w="95" w:type="dxa"/>
              <w:bottom w:w="95" w:type="dxa"/>
              <w:left w:w="95" w:type="dxa"/>
              <w:right w:w="95" w:type="dxa"/>
            </w:tcMar>
            <w:shd w:fill="17364D"/>
          </w:tcPr>
          <w:p>
            <w:pPr>
              <w:keepNext w:val="0"/>
              <w:spacing w:after="40" w:before="40" w:line="245" w:lineRule="auto"/>
            </w:pPr>
            <w:r>
              <w:rPr>
                <w:b/>
                <w:color w:val="FFFFFF"/>
                <w:sz w:val="19"/>
              </w:rPr>
              <w:t>What to establish internally</w:t>
            </w:r>
          </w:p>
        </w:tc>
      </w:tr>
      <w:tr>
        <w:trPr>
          <w:cantSplit/>
        </w:trPr>
        <w:tc>
          <w:tcPr>
            <w:tcW w:type="dxa" w:w="1613"/>
            <w:vAlign w:val="center"/>
            <w:tcMar>
              <w:top w:w="95" w:type="dxa"/>
              <w:bottom w:w="95" w:type="dxa"/>
              <w:left w:w="95" w:type="dxa"/>
              <w:right w:w="95" w:type="dxa"/>
            </w:tcMar>
            <w:shd w:fill="FFFFFF"/>
          </w:tcPr>
          <w:p>
            <w:pPr>
              <w:keepNext w:val="0"/>
              <w:spacing w:after="40" w:before="40" w:line="245" w:lineRule="auto"/>
            </w:pPr>
            <w:r>
              <w:rPr>
                <w:b w:val="0"/>
                <w:color w:val="000000"/>
                <w:sz w:val="19"/>
              </w:rPr>
              <w:t>ISO 27001</w:t>
            </w:r>
          </w:p>
        </w:tc>
        <w:tc>
          <w:tcPr>
            <w:tcW w:type="dxa" w:w="4262"/>
            <w:vAlign w:val="center"/>
            <w:tcMar>
              <w:top w:w="95" w:type="dxa"/>
              <w:bottom w:w="95" w:type="dxa"/>
              <w:left w:w="95" w:type="dxa"/>
              <w:right w:w="95" w:type="dxa"/>
            </w:tcMar>
            <w:shd w:fill="FFFFFF"/>
          </w:tcPr>
          <w:p>
            <w:pPr>
              <w:keepNext w:val="0"/>
              <w:spacing w:after="40" w:before="40" w:line="245" w:lineRule="auto"/>
            </w:pPr>
            <w:r>
              <w:rPr>
                <w:b w:val="0"/>
                <w:color w:val="000000"/>
                <w:sz w:val="19"/>
              </w:rPr>
              <w:t>The certificate includes Linode compute, LKE, storage, managed databases, networking, APIs and Cloud Manager. [4]</w:t>
            </w:r>
          </w:p>
        </w:tc>
        <w:tc>
          <w:tcPr>
            <w:tcW w:type="dxa" w:w="4262"/>
            <w:vAlign w:val="center"/>
            <w:tcMar>
              <w:top w:w="95" w:type="dxa"/>
              <w:bottom w:w="95" w:type="dxa"/>
              <w:left w:w="95" w:type="dxa"/>
              <w:right w:w="95" w:type="dxa"/>
            </w:tcMar>
            <w:shd w:fill="FFFFFF"/>
          </w:tcPr>
          <w:p>
            <w:pPr>
              <w:keepNext w:val="0"/>
              <w:spacing w:after="40" w:before="40" w:line="245" w:lineRule="auto"/>
            </w:pPr>
            <w:r>
              <w:rPr>
                <w:b w:val="0"/>
                <w:color w:val="000000"/>
                <w:sz w:val="19"/>
              </w:rPr>
              <w:t>Applicable scope and Statement of Applicability; new features, facilities and exclusions.</w:t>
            </w:r>
          </w:p>
        </w:tc>
      </w:tr>
      <w:tr>
        <w:trPr>
          <w:cantSplit/>
        </w:trPr>
        <w:tc>
          <w:tcPr>
            <w:tcW w:type="dxa" w:w="1613"/>
            <w:vAlign w:val="center"/>
            <w:tcMar>
              <w:top w:w="95" w:type="dxa"/>
              <w:bottom w:w="95" w:type="dxa"/>
              <w:left w:w="95" w:type="dxa"/>
              <w:right w:w="95" w:type="dxa"/>
            </w:tcMar>
            <w:shd w:fill="F1F5F7"/>
          </w:tcPr>
          <w:p>
            <w:pPr>
              <w:keepNext w:val="0"/>
              <w:spacing w:after="40" w:before="40" w:line="245" w:lineRule="auto"/>
            </w:pPr>
            <w:r>
              <w:rPr>
                <w:b w:val="0"/>
                <w:color w:val="000000"/>
                <w:sz w:val="19"/>
              </w:rPr>
              <w:t>Cloud security and privacy ISO standards</w:t>
            </w:r>
          </w:p>
        </w:tc>
        <w:tc>
          <w:tcPr>
            <w:tcW w:type="dxa" w:w="4262"/>
            <w:vAlign w:val="center"/>
            <w:tcMar>
              <w:top w:w="95" w:type="dxa"/>
              <w:bottom w:w="95" w:type="dxa"/>
              <w:left w:w="95" w:type="dxa"/>
              <w:right w:w="95" w:type="dxa"/>
            </w:tcMar>
            <w:shd w:fill="F1F5F7"/>
          </w:tcPr>
          <w:p>
            <w:pPr>
              <w:keepNext w:val="0"/>
              <w:spacing w:after="40" w:before="40" w:line="245" w:lineRule="auto"/>
            </w:pPr>
            <w:r>
              <w:rPr>
                <w:b w:val="0"/>
                <w:color w:val="000000"/>
                <w:sz w:val="19"/>
              </w:rPr>
              <w:t>A separate ISO 27017 certificate includes cloud offerings. Published scope also references ISO 27018 and ISO 27701. [4,5]</w:t>
            </w:r>
          </w:p>
        </w:tc>
        <w:tc>
          <w:tcPr>
            <w:tcW w:type="dxa" w:w="4262"/>
            <w:vAlign w:val="center"/>
            <w:tcMar>
              <w:top w:w="95" w:type="dxa"/>
              <w:bottom w:w="95" w:type="dxa"/>
              <w:left w:w="95" w:type="dxa"/>
              <w:right w:w="95" w:type="dxa"/>
            </w:tcMar>
            <w:shd w:fill="F1F5F7"/>
          </w:tcPr>
          <w:p>
            <w:pPr>
              <w:keepNext w:val="0"/>
              <w:spacing w:after="40" w:before="40" w:line="245" w:lineRule="auto"/>
            </w:pPr>
            <w:r>
              <w:rPr>
                <w:b w:val="0"/>
                <w:color w:val="000000"/>
                <w:sz w:val="19"/>
              </w:rPr>
              <w:t>Latest certificates, editions, surveillance findings and transition obligations.</w:t>
            </w:r>
          </w:p>
        </w:tc>
      </w:tr>
      <w:tr>
        <w:trPr>
          <w:cantSplit/>
        </w:trPr>
        <w:tc>
          <w:tcPr>
            <w:tcW w:type="dxa" w:w="1613"/>
            <w:vAlign w:val="center"/>
            <w:tcMar>
              <w:top w:w="95" w:type="dxa"/>
              <w:bottom w:w="95" w:type="dxa"/>
              <w:left w:w="95" w:type="dxa"/>
              <w:right w:w="95" w:type="dxa"/>
            </w:tcMar>
            <w:shd w:fill="FFFFFF"/>
          </w:tcPr>
          <w:p>
            <w:pPr>
              <w:keepNext w:val="0"/>
              <w:spacing w:after="40" w:before="40" w:line="245" w:lineRule="auto"/>
            </w:pPr>
            <w:r>
              <w:rPr>
                <w:b w:val="0"/>
                <w:color w:val="000000"/>
                <w:sz w:val="19"/>
              </w:rPr>
              <w:t>SOC 2 and C5</w:t>
            </w:r>
          </w:p>
        </w:tc>
        <w:tc>
          <w:tcPr>
            <w:tcW w:type="dxa" w:w="4262"/>
            <w:vAlign w:val="center"/>
            <w:tcMar>
              <w:top w:w="95" w:type="dxa"/>
              <w:bottom w:w="95" w:type="dxa"/>
              <w:left w:w="95" w:type="dxa"/>
              <w:right w:w="95" w:type="dxa"/>
            </w:tcMar>
            <w:shd w:fill="FFFFFF"/>
          </w:tcPr>
          <w:p>
            <w:pPr>
              <w:keepNext w:val="0"/>
              <w:spacing w:after="40" w:before="40" w:line="245" w:lineRule="auto"/>
            </w:pPr>
            <w:r>
              <w:rPr>
                <w:b w:val="0"/>
                <w:color w:val="000000"/>
                <w:sz w:val="19"/>
              </w:rPr>
              <w:t>The Trust Center lists the 2025 cloud Type 1 report with C5 separately from the primary Akamai Type 2 report. [6]</w:t>
            </w:r>
          </w:p>
        </w:tc>
        <w:tc>
          <w:tcPr>
            <w:tcW w:type="dxa" w:w="4262"/>
            <w:vAlign w:val="center"/>
            <w:tcMar>
              <w:top w:w="95" w:type="dxa"/>
              <w:bottom w:w="95" w:type="dxa"/>
              <w:left w:w="95" w:type="dxa"/>
              <w:right w:w="95" w:type="dxa"/>
            </w:tcMar>
            <w:shd w:fill="FFFFFF"/>
          </w:tcPr>
          <w:p>
            <w:pPr>
              <w:keepNext w:val="0"/>
              <w:spacing w:after="40" w:before="40" w:line="245" w:lineRule="auto"/>
            </w:pPr>
            <w:r>
              <w:rPr>
                <w:b w:val="0"/>
                <w:color w:val="000000"/>
                <w:sz w:val="19"/>
              </w:rPr>
              <w:t>Current report, opinion, system boundary, C5 coverage, observation period and Type 2 plan.</w:t>
            </w:r>
          </w:p>
        </w:tc>
      </w:tr>
      <w:tr>
        <w:trPr>
          <w:cantSplit/>
        </w:trPr>
        <w:tc>
          <w:tcPr>
            <w:tcW w:type="dxa" w:w="1613"/>
            <w:vAlign w:val="center"/>
            <w:tcMar>
              <w:top w:w="95" w:type="dxa"/>
              <w:bottom w:w="95" w:type="dxa"/>
              <w:left w:w="95" w:type="dxa"/>
              <w:right w:w="95" w:type="dxa"/>
            </w:tcMar>
            <w:shd w:fill="F1F5F7"/>
          </w:tcPr>
          <w:p>
            <w:pPr>
              <w:keepNext w:val="0"/>
              <w:spacing w:after="40" w:before="40" w:line="245" w:lineRule="auto"/>
            </w:pPr>
            <w:r>
              <w:rPr>
                <w:b w:val="0"/>
                <w:color w:val="000000"/>
                <w:sz w:val="19"/>
              </w:rPr>
              <w:t>HIPAA</w:t>
            </w:r>
          </w:p>
        </w:tc>
        <w:tc>
          <w:tcPr>
            <w:tcW w:type="dxa" w:w="4262"/>
            <w:vAlign w:val="center"/>
            <w:tcMar>
              <w:top w:w="95" w:type="dxa"/>
              <w:bottom w:w="95" w:type="dxa"/>
              <w:left w:w="95" w:type="dxa"/>
              <w:right w:w="95" w:type="dxa"/>
            </w:tcMar>
            <w:shd w:fill="F1F5F7"/>
          </w:tcPr>
          <w:p>
            <w:pPr>
              <w:keepNext w:val="0"/>
              <w:spacing w:after="40" w:before="40" w:line="245" w:lineRule="auto"/>
            </w:pPr>
            <w:r>
              <w:rPr>
                <w:b w:val="0"/>
                <w:color w:val="000000"/>
                <w:sz w:val="19"/>
              </w:rPr>
              <w:t>A healthcare assessment report and compliance statement appear in the Trust Center. [6]</w:t>
            </w:r>
          </w:p>
        </w:tc>
        <w:tc>
          <w:tcPr>
            <w:tcW w:type="dxa" w:w="4262"/>
            <w:vAlign w:val="center"/>
            <w:tcMar>
              <w:top w:w="95" w:type="dxa"/>
              <w:bottom w:w="95" w:type="dxa"/>
              <w:left w:w="95" w:type="dxa"/>
              <w:right w:w="95" w:type="dxa"/>
            </w:tcMar>
            <w:shd w:fill="F1F5F7"/>
          </w:tcPr>
          <w:p>
            <w:pPr>
              <w:keepNext w:val="0"/>
              <w:spacing w:after="40" w:before="40" w:line="245" w:lineRule="auto"/>
            </w:pPr>
            <w:r>
              <w:rPr>
                <w:b w:val="0"/>
                <w:color w:val="000000"/>
                <w:sz w:val="19"/>
              </w:rPr>
              <w:t>Cloud service eligibility, actual report scope, BAA availability and operational duties.</w:t>
            </w:r>
          </w:p>
        </w:tc>
      </w:tr>
      <w:tr>
        <w:trPr>
          <w:cantSplit/>
        </w:trPr>
        <w:tc>
          <w:tcPr>
            <w:tcW w:type="dxa" w:w="1613"/>
            <w:vAlign w:val="center"/>
            <w:tcMar>
              <w:top w:w="95" w:type="dxa"/>
              <w:bottom w:w="95" w:type="dxa"/>
              <w:left w:w="95" w:type="dxa"/>
              <w:right w:w="95" w:type="dxa"/>
            </w:tcMar>
            <w:shd w:fill="FFFFFF"/>
          </w:tcPr>
          <w:p>
            <w:pPr>
              <w:keepNext w:val="0"/>
              <w:spacing w:after="40" w:before="40" w:line="245" w:lineRule="auto"/>
            </w:pPr>
            <w:r>
              <w:rPr>
                <w:b w:val="0"/>
                <w:color w:val="000000"/>
                <w:sz w:val="19"/>
              </w:rPr>
              <w:t>NIS2</w:t>
            </w:r>
          </w:p>
        </w:tc>
        <w:tc>
          <w:tcPr>
            <w:tcW w:type="dxa" w:w="4262"/>
            <w:vAlign w:val="center"/>
            <w:tcMar>
              <w:top w:w="95" w:type="dxa"/>
              <w:bottom w:w="95" w:type="dxa"/>
              <w:left w:w="95" w:type="dxa"/>
              <w:right w:w="95" w:type="dxa"/>
            </w:tcMar>
            <w:shd w:fill="FFFFFF"/>
          </w:tcPr>
          <w:p>
            <w:pPr>
              <w:keepNext w:val="0"/>
              <w:spacing w:after="40" w:before="40" w:line="245" w:lineRule="auto"/>
            </w:pPr>
            <w:r>
              <w:rPr>
                <w:b w:val="0"/>
                <w:color w:val="000000"/>
                <w:sz w:val="19"/>
              </w:rPr>
              <w:t>The matching role names NIS2; EU implementing rules explicitly address cloud and CDN providers. [7,10]</w:t>
            </w:r>
          </w:p>
        </w:tc>
        <w:tc>
          <w:tcPr>
            <w:tcW w:type="dxa" w:w="4262"/>
            <w:vAlign w:val="center"/>
            <w:tcMar>
              <w:top w:w="95" w:type="dxa"/>
              <w:bottom w:w="95" w:type="dxa"/>
              <w:left w:w="95" w:type="dxa"/>
              <w:right w:w="95" w:type="dxa"/>
            </w:tcMar>
            <w:shd w:fill="FFFFFF"/>
          </w:tcPr>
          <w:p>
            <w:pPr>
              <w:keepNext w:val="0"/>
              <w:spacing w:after="40" w:before="40" w:line="245" w:lineRule="auto"/>
            </w:pPr>
            <w:r>
              <w:rPr>
                <w:b w:val="0"/>
                <w:color w:val="000000"/>
                <w:sz w:val="19"/>
              </w:rPr>
              <w:t>Affected legal entities and national rules, governance, risk measures and reporting process.</w:t>
            </w:r>
          </w:p>
        </w:tc>
      </w:tr>
      <w:tr>
        <w:trPr>
          <w:cantSplit/>
        </w:trPr>
        <w:tc>
          <w:tcPr>
            <w:tcW w:type="dxa" w:w="1613"/>
            <w:vAlign w:val="center"/>
            <w:tcMar>
              <w:top w:w="95" w:type="dxa"/>
              <w:bottom w:w="95" w:type="dxa"/>
              <w:left w:w="95" w:type="dxa"/>
              <w:right w:w="95" w:type="dxa"/>
            </w:tcMar>
            <w:shd w:fill="F1F5F7"/>
          </w:tcPr>
          <w:p>
            <w:pPr>
              <w:keepNext w:val="0"/>
              <w:spacing w:after="40" w:before="40" w:line="245" w:lineRule="auto"/>
            </w:pPr>
            <w:r>
              <w:rPr>
                <w:b w:val="0"/>
                <w:color w:val="000000"/>
                <w:sz w:val="19"/>
              </w:rPr>
              <w:t>PCI DSS</w:t>
            </w:r>
          </w:p>
        </w:tc>
        <w:tc>
          <w:tcPr>
            <w:tcW w:type="dxa" w:w="4262"/>
            <w:vAlign w:val="center"/>
            <w:tcMar>
              <w:top w:w="95" w:type="dxa"/>
              <w:bottom w:w="95" w:type="dxa"/>
              <w:left w:w="95" w:type="dxa"/>
              <w:right w:w="95" w:type="dxa"/>
            </w:tcMar>
            <w:shd w:fill="F1F5F7"/>
          </w:tcPr>
          <w:p>
            <w:pPr>
              <w:keepNext w:val="0"/>
              <w:spacing w:after="40" w:before="40" w:line="245" w:lineRule="auto"/>
            </w:pPr>
            <w:r>
              <w:rPr>
                <w:b w:val="0"/>
                <w:color w:val="000000"/>
                <w:sz w:val="19"/>
              </w:rPr>
              <w:t>Akamai publishes PCI material, but its broader compliance overview does not establish blanket cloud-compute coverage. [11]</w:t>
            </w:r>
          </w:p>
        </w:tc>
        <w:tc>
          <w:tcPr>
            <w:tcW w:type="dxa" w:w="4262"/>
            <w:vAlign w:val="center"/>
            <w:tcMar>
              <w:top w:w="95" w:type="dxa"/>
              <w:bottom w:w="95" w:type="dxa"/>
              <w:left w:w="95" w:type="dxa"/>
              <w:right w:w="95" w:type="dxa"/>
            </w:tcMar>
            <w:shd w:fill="F1F5F7"/>
          </w:tcPr>
          <w:p>
            <w:pPr>
              <w:keepNext w:val="0"/>
              <w:spacing w:after="40" w:before="40" w:line="245" w:lineRule="auto"/>
            </w:pPr>
            <w:r>
              <w:rPr>
                <w:b w:val="0"/>
                <w:color w:val="000000"/>
                <w:sz w:val="19"/>
              </w:rPr>
              <w:t>Service-provider versus billing scope; current AoC and customer responsibility matrix.</w:t>
            </w:r>
          </w:p>
        </w:tc>
      </w:tr>
      <w:tr>
        <w:trPr>
          <w:cantSplit/>
        </w:trPr>
        <w:tc>
          <w:tcPr>
            <w:tcW w:type="dxa" w:w="1613"/>
            <w:vAlign w:val="center"/>
            <w:tcMar>
              <w:top w:w="95" w:type="dxa"/>
              <w:bottom w:w="95" w:type="dxa"/>
              <w:left w:w="95" w:type="dxa"/>
              <w:right w:w="95" w:type="dxa"/>
            </w:tcMar>
            <w:shd w:fill="FFFFFF"/>
          </w:tcPr>
          <w:p>
            <w:pPr>
              <w:keepNext w:val="0"/>
              <w:spacing w:after="40" w:before="40" w:line="245" w:lineRule="auto"/>
            </w:pPr>
            <w:r>
              <w:rPr>
                <w:b w:val="0"/>
                <w:color w:val="000000"/>
                <w:sz w:val="19"/>
              </w:rPr>
              <w:t>FedRAMP</w:t>
            </w:r>
          </w:p>
        </w:tc>
        <w:tc>
          <w:tcPr>
            <w:tcW w:type="dxa" w:w="4262"/>
            <w:vAlign w:val="center"/>
            <w:tcMar>
              <w:top w:w="95" w:type="dxa"/>
              <w:bottom w:w="95" w:type="dxa"/>
              <w:left w:w="95" w:type="dxa"/>
              <w:right w:w="95" w:type="dxa"/>
            </w:tcMar>
            <w:shd w:fill="FFFFFF"/>
          </w:tcPr>
          <w:p>
            <w:pPr>
              <w:keepNext w:val="0"/>
              <w:spacing w:after="40" w:before="40" w:line="245" w:lineRule="auto"/>
            </w:pPr>
            <w:r>
              <w:rPr>
                <w:b w:val="0"/>
                <w:color w:val="000000"/>
                <w:sz w:val="19"/>
              </w:rPr>
              <w:t>Akamai's published overview identifies a boundary around delivery, edge security and related services. [11]</w:t>
            </w:r>
          </w:p>
        </w:tc>
        <w:tc>
          <w:tcPr>
            <w:tcW w:type="dxa" w:w="4262"/>
            <w:vAlign w:val="center"/>
            <w:tcMar>
              <w:top w:w="95" w:type="dxa"/>
              <w:bottom w:w="95" w:type="dxa"/>
              <w:left w:w="95" w:type="dxa"/>
              <w:right w:w="95" w:type="dxa"/>
            </w:tcMar>
            <w:shd w:fill="FFFFFF"/>
          </w:tcPr>
          <w:p>
            <w:pPr>
              <w:keepNext w:val="0"/>
              <w:spacing w:after="40" w:before="40" w:line="245" w:lineRule="auto"/>
            </w:pPr>
            <w:r>
              <w:rPr>
                <w:b w:val="0"/>
                <w:color w:val="000000"/>
                <w:sz w:val="19"/>
              </w:rPr>
              <w:t>Whether any requested compute offering is in the actual authorized boundary; current official listing and package.</w:t>
            </w:r>
          </w:p>
        </w:tc>
      </w:tr>
    </w:tbl>
    <w:p>
      <w:pPr>
        <w:spacing w:after="0"/>
      </w:pPr>
      <w:r/>
    </w:p>
    <w:p>
      <w:pPr>
        <w:pStyle w:val="Heading2"/>
      </w:pPr>
      <w:r>
        <w:t>The inference worth testing</w:t>
      </w:r>
    </w:p>
    <w:p>
      <w:r>
        <w:t>The public Type 1 listing and the job's emphasis on Type 2 make sustained operating evidence a plausible priority. Other possibilities include extending an existing assessment to more services, regional requirements, new ownership arrangements, or improving evidence automation. The hiring team can resolve which is driving the position.</w:t>
      </w:r>
    </w:p>
    <w:p>
      <w:pPr>
        <w:pStyle w:val="Heading2"/>
      </w:pPr>
      <w:r>
        <w:t>The evidence request</w:t>
      </w:r>
    </w:p>
    <w:p>
      <w:r>
        <w:t>Ask for current reports and certificates, scope descriptions, the control inventory, open findings, approved exceptions, assessment dates, customer commitments and the next two quarters of product launches. Read the underlying documents before calling a capability covered or missing.</w:t>
      </w:r>
    </w:p>
    <w:p>
      <w:pPr>
        <w:pStyle w:val="Heading1"/>
        <w:pageBreakBefore/>
      </w:pPr>
      <w:r>
        <w:t>3  What each compliance term means</w:t>
      </w:r>
    </w:p>
    <w:tbl>
      <w:tblPr>
        <w:tblW w:type="auto" w:w="0"/>
        <w:jc w:val="center"/>
        <w:tblLayout w:type="fixed"/>
        <w:tblLook w:firstColumn="1" w:firstRow="1" w:lastColumn="0" w:lastRow="0" w:noHBand="0" w:noVBand="1" w:val="04A0"/>
        <w:tblBorders>
          <w:top w:val="single" w:sz="5" w:color="D9D9D9"/>
          <w:left w:val="single" w:sz="5" w:color="D9D9D9"/>
          <w:bottom w:val="single" w:sz="5" w:color="D9D9D9"/>
          <w:right w:val="single" w:sz="5" w:color="D9D9D9"/>
          <w:insideH w:val="single" w:sz="5" w:color="D9D9D9"/>
          <w:insideV w:val="single" w:sz="5" w:color="D9D9D9"/>
        </w:tblBorders>
      </w:tblPr>
      <w:tblGrid>
        <w:gridCol w:w="1699"/>
        <w:gridCol w:w="3917"/>
        <w:gridCol w:w="4522"/>
      </w:tblGrid>
      <w:tr>
        <w:trPr>
          <w:cantSplit/>
          <w:tblHeader/>
        </w:trPr>
        <w:tc>
          <w:tcPr>
            <w:tcW w:type="dxa" w:w="1699"/>
            <w:vAlign w:val="center"/>
            <w:tcMar>
              <w:top w:w="95" w:type="dxa"/>
              <w:bottom w:w="95" w:type="dxa"/>
              <w:left w:w="95" w:type="dxa"/>
              <w:right w:w="95" w:type="dxa"/>
            </w:tcMar>
            <w:shd w:fill="17364D"/>
          </w:tcPr>
          <w:p>
            <w:pPr>
              <w:keepNext w:val="0"/>
              <w:spacing w:after="40" w:before="40" w:line="245" w:lineRule="auto"/>
            </w:pPr>
            <w:r>
              <w:rPr>
                <w:b/>
                <w:color w:val="FFFFFF"/>
                <w:sz w:val="19"/>
              </w:rPr>
              <w:t>Program</w:t>
            </w:r>
          </w:p>
        </w:tc>
        <w:tc>
          <w:tcPr>
            <w:tcW w:type="dxa" w:w="3917"/>
            <w:vAlign w:val="center"/>
            <w:tcMar>
              <w:top w:w="95" w:type="dxa"/>
              <w:bottom w:w="95" w:type="dxa"/>
              <w:left w:w="95" w:type="dxa"/>
              <w:right w:w="95" w:type="dxa"/>
            </w:tcMar>
            <w:shd w:fill="17364D"/>
          </w:tcPr>
          <w:p>
            <w:pPr>
              <w:keepNext w:val="0"/>
              <w:spacing w:after="40" w:before="40" w:line="245" w:lineRule="auto"/>
            </w:pPr>
            <w:r>
              <w:rPr>
                <w:b/>
                <w:color w:val="FFFFFF"/>
                <w:sz w:val="19"/>
              </w:rPr>
              <w:t>What the outcome actually is</w:t>
            </w:r>
          </w:p>
        </w:tc>
        <w:tc>
          <w:tcPr>
            <w:tcW w:type="dxa" w:w="4522"/>
            <w:vAlign w:val="center"/>
            <w:tcMar>
              <w:top w:w="95" w:type="dxa"/>
              <w:bottom w:w="95" w:type="dxa"/>
              <w:left w:w="95" w:type="dxa"/>
              <w:right w:w="95" w:type="dxa"/>
            </w:tcMar>
            <w:shd w:fill="17364D"/>
          </w:tcPr>
          <w:p>
            <w:pPr>
              <w:keepNext w:val="0"/>
              <w:spacing w:after="40" w:before="40" w:line="245" w:lineRule="auto"/>
            </w:pPr>
            <w:r>
              <w:rPr>
                <w:b/>
                <w:color w:val="FFFFFF"/>
                <w:sz w:val="19"/>
              </w:rPr>
              <w:t>Delivery consequence</w:t>
            </w:r>
          </w:p>
        </w:tc>
      </w:tr>
      <w:tr>
        <w:trPr>
          <w:cantSplit/>
        </w:trPr>
        <w:tc>
          <w:tcPr>
            <w:tcW w:type="dxa" w:w="1699"/>
            <w:vAlign w:val="center"/>
            <w:tcMar>
              <w:top w:w="95" w:type="dxa"/>
              <w:bottom w:w="95" w:type="dxa"/>
              <w:left w:w="95" w:type="dxa"/>
              <w:right w:w="95" w:type="dxa"/>
            </w:tcMar>
            <w:shd w:fill="FFFFFF"/>
          </w:tcPr>
          <w:p>
            <w:pPr>
              <w:keepNext w:val="0"/>
              <w:spacing w:after="40" w:before="40" w:line="245" w:lineRule="auto"/>
            </w:pPr>
            <w:r>
              <w:rPr>
                <w:b w:val="0"/>
                <w:color w:val="000000"/>
                <w:sz w:val="19"/>
              </w:rPr>
              <w:t>ISO 27001</w:t>
            </w:r>
          </w:p>
        </w:tc>
        <w:tc>
          <w:tcPr>
            <w:tcW w:type="dxa" w:w="3917"/>
            <w:vAlign w:val="center"/>
            <w:tcMar>
              <w:top w:w="95" w:type="dxa"/>
              <w:bottom w:w="95" w:type="dxa"/>
              <w:left w:w="95" w:type="dxa"/>
              <w:right w:w="95" w:type="dxa"/>
            </w:tcMar>
            <w:shd w:fill="FFFFFF"/>
          </w:tcPr>
          <w:p>
            <w:pPr>
              <w:keepNext w:val="0"/>
              <w:spacing w:after="40" w:before="40" w:line="245" w:lineRule="auto"/>
            </w:pPr>
            <w:r>
              <w:rPr>
                <w:b w:val="0"/>
                <w:color w:val="000000"/>
                <w:sz w:val="19"/>
              </w:rPr>
              <w:t>Certification of an information security management system within a defined scope. [4]</w:t>
            </w:r>
          </w:p>
        </w:tc>
        <w:tc>
          <w:tcPr>
            <w:tcW w:type="dxa" w:w="4522"/>
            <w:vAlign w:val="center"/>
            <w:tcMar>
              <w:top w:w="95" w:type="dxa"/>
              <w:bottom w:w="95" w:type="dxa"/>
              <w:left w:w="95" w:type="dxa"/>
              <w:right w:w="95" w:type="dxa"/>
            </w:tcMar>
            <w:shd w:fill="FFFFFF"/>
          </w:tcPr>
          <w:p>
            <w:pPr>
              <w:keepNext w:val="0"/>
              <w:spacing w:after="40" w:before="40" w:line="245" w:lineRule="auto"/>
            </w:pPr>
            <w:r>
              <w:rPr>
                <w:b w:val="0"/>
                <w:color w:val="000000"/>
                <w:sz w:val="19"/>
              </w:rPr>
              <w:t>Maintain risk treatment, the Statement of Applicability, internal audit, management review and corrective actions.</w:t>
            </w:r>
          </w:p>
        </w:tc>
      </w:tr>
      <w:tr>
        <w:trPr>
          <w:cantSplit/>
        </w:trPr>
        <w:tc>
          <w:tcPr>
            <w:tcW w:type="dxa" w:w="1699"/>
            <w:vAlign w:val="center"/>
            <w:tcMar>
              <w:top w:w="95" w:type="dxa"/>
              <w:bottom w:w="95" w:type="dxa"/>
              <w:left w:w="95" w:type="dxa"/>
              <w:right w:w="95" w:type="dxa"/>
            </w:tcMar>
            <w:shd w:fill="F1F5F7"/>
          </w:tcPr>
          <w:p>
            <w:pPr>
              <w:keepNext w:val="0"/>
              <w:spacing w:after="40" w:before="40" w:line="245" w:lineRule="auto"/>
            </w:pPr>
            <w:r>
              <w:rPr>
                <w:b w:val="0"/>
                <w:color w:val="000000"/>
                <w:sz w:val="19"/>
              </w:rPr>
              <w:t>SOC 2 Type 1</w:t>
            </w:r>
          </w:p>
        </w:tc>
        <w:tc>
          <w:tcPr>
            <w:tcW w:type="dxa" w:w="3917"/>
            <w:vAlign w:val="center"/>
            <w:tcMar>
              <w:top w:w="95" w:type="dxa"/>
              <w:bottom w:w="95" w:type="dxa"/>
              <w:left w:w="95" w:type="dxa"/>
              <w:right w:w="95" w:type="dxa"/>
            </w:tcMar>
            <w:shd w:fill="F1F5F7"/>
          </w:tcPr>
          <w:p>
            <w:pPr>
              <w:keepNext w:val="0"/>
              <w:spacing w:after="40" w:before="40" w:line="245" w:lineRule="auto"/>
            </w:pPr>
            <w:r>
              <w:rPr>
                <w:b w:val="0"/>
                <w:color w:val="000000"/>
                <w:sz w:val="19"/>
              </w:rPr>
              <w:t>A report addressing control design at a specified date. [12]</w:t>
            </w:r>
          </w:p>
        </w:tc>
        <w:tc>
          <w:tcPr>
            <w:tcW w:type="dxa" w:w="4522"/>
            <w:vAlign w:val="center"/>
            <w:tcMar>
              <w:top w:w="95" w:type="dxa"/>
              <w:bottom w:w="95" w:type="dxa"/>
              <w:left w:w="95" w:type="dxa"/>
              <w:right w:w="95" w:type="dxa"/>
            </w:tcMar>
            <w:shd w:fill="F1F5F7"/>
          </w:tcPr>
          <w:p>
            <w:pPr>
              <w:keepNext w:val="0"/>
              <w:spacing w:after="40" w:before="40" w:line="245" w:lineRule="auto"/>
            </w:pPr>
            <w:r>
              <w:rPr>
                <w:b w:val="0"/>
                <w:color w:val="000000"/>
                <w:sz w:val="19"/>
              </w:rPr>
              <w:t>Useful baseline; does not provide period-long operating assurance.</w:t>
            </w:r>
          </w:p>
        </w:tc>
      </w:tr>
      <w:tr>
        <w:trPr>
          <w:cantSplit/>
        </w:trPr>
        <w:tc>
          <w:tcPr>
            <w:tcW w:type="dxa" w:w="1699"/>
            <w:vAlign w:val="center"/>
            <w:tcMar>
              <w:top w:w="95" w:type="dxa"/>
              <w:bottom w:w="95" w:type="dxa"/>
              <w:left w:w="95" w:type="dxa"/>
              <w:right w:w="95" w:type="dxa"/>
            </w:tcMar>
            <w:shd w:fill="FFFFFF"/>
          </w:tcPr>
          <w:p>
            <w:pPr>
              <w:keepNext w:val="0"/>
              <w:spacing w:after="40" w:before="40" w:line="245" w:lineRule="auto"/>
            </w:pPr>
            <w:r>
              <w:rPr>
                <w:b w:val="0"/>
                <w:color w:val="000000"/>
                <w:sz w:val="19"/>
              </w:rPr>
              <w:t>SOC 2 Type 2</w:t>
            </w:r>
          </w:p>
        </w:tc>
        <w:tc>
          <w:tcPr>
            <w:tcW w:type="dxa" w:w="3917"/>
            <w:vAlign w:val="center"/>
            <w:tcMar>
              <w:top w:w="95" w:type="dxa"/>
              <w:bottom w:w="95" w:type="dxa"/>
              <w:left w:w="95" w:type="dxa"/>
              <w:right w:w="95" w:type="dxa"/>
            </w:tcMar>
            <w:shd w:fill="FFFFFF"/>
          </w:tcPr>
          <w:p>
            <w:pPr>
              <w:keepNext w:val="0"/>
              <w:spacing w:after="40" w:before="40" w:line="245" w:lineRule="auto"/>
            </w:pPr>
            <w:r>
              <w:rPr>
                <w:b w:val="0"/>
                <w:color w:val="000000"/>
                <w:sz w:val="19"/>
              </w:rPr>
              <w:t>A report that also addresses operation of controls over a specified period. [12]</w:t>
            </w:r>
          </w:p>
        </w:tc>
        <w:tc>
          <w:tcPr>
            <w:tcW w:type="dxa" w:w="4522"/>
            <w:vAlign w:val="center"/>
            <w:tcMar>
              <w:top w:w="95" w:type="dxa"/>
              <w:bottom w:w="95" w:type="dxa"/>
              <w:left w:w="95" w:type="dxa"/>
              <w:right w:w="95" w:type="dxa"/>
            </w:tcMar>
            <w:shd w:fill="FFFFFF"/>
          </w:tcPr>
          <w:p>
            <w:pPr>
              <w:keepNext w:val="0"/>
              <w:spacing w:after="40" w:before="40" w:line="245" w:lineRule="auto"/>
            </w:pPr>
            <w:r>
              <w:rPr>
                <w:b w:val="0"/>
                <w:color w:val="000000"/>
                <w:sz w:val="19"/>
              </w:rPr>
              <w:t>Control deployment, observation, testing and report issuance are separate milestones.</w:t>
            </w:r>
          </w:p>
        </w:tc>
      </w:tr>
      <w:tr>
        <w:trPr>
          <w:cantSplit/>
        </w:trPr>
        <w:tc>
          <w:tcPr>
            <w:tcW w:type="dxa" w:w="1699"/>
            <w:vAlign w:val="center"/>
            <w:tcMar>
              <w:top w:w="95" w:type="dxa"/>
              <w:bottom w:w="95" w:type="dxa"/>
              <w:left w:w="95" w:type="dxa"/>
              <w:right w:w="95" w:type="dxa"/>
            </w:tcMar>
            <w:shd w:fill="F1F5F7"/>
          </w:tcPr>
          <w:p>
            <w:pPr>
              <w:keepNext w:val="0"/>
              <w:spacing w:after="40" w:before="40" w:line="245" w:lineRule="auto"/>
            </w:pPr>
            <w:r>
              <w:rPr>
                <w:b w:val="0"/>
                <w:color w:val="000000"/>
                <w:sz w:val="19"/>
              </w:rPr>
              <w:t>C5 Type 2</w:t>
            </w:r>
          </w:p>
        </w:tc>
        <w:tc>
          <w:tcPr>
            <w:tcW w:type="dxa" w:w="3917"/>
            <w:vAlign w:val="center"/>
            <w:tcMar>
              <w:top w:w="95" w:type="dxa"/>
              <w:bottom w:w="95" w:type="dxa"/>
              <w:left w:w="95" w:type="dxa"/>
              <w:right w:w="95" w:type="dxa"/>
            </w:tcMar>
            <w:shd w:fill="F1F5F7"/>
          </w:tcPr>
          <w:p>
            <w:pPr>
              <w:keepNext w:val="0"/>
              <w:spacing w:after="40" w:before="40" w:line="245" w:lineRule="auto"/>
            </w:pPr>
            <w:r>
              <w:rPr>
                <w:b w:val="0"/>
                <w:color w:val="000000"/>
                <w:sz w:val="19"/>
              </w:rPr>
              <w:t>A cloud assurance examination against BSI criteria with operating-effectiveness coverage. [13]</w:t>
            </w:r>
          </w:p>
        </w:tc>
        <w:tc>
          <w:tcPr>
            <w:tcW w:type="dxa" w:w="4522"/>
            <w:vAlign w:val="center"/>
            <w:tcMar>
              <w:top w:w="95" w:type="dxa"/>
              <w:bottom w:w="95" w:type="dxa"/>
              <w:left w:w="95" w:type="dxa"/>
              <w:right w:w="95" w:type="dxa"/>
            </w:tcMar>
            <w:shd w:fill="F1F5F7"/>
          </w:tcPr>
          <w:p>
            <w:pPr>
              <w:keepNext w:val="0"/>
              <w:spacing w:after="40" w:before="40" w:line="245" w:lineRule="auto"/>
            </w:pPr>
            <w:r>
              <w:rPr>
                <w:b w:val="0"/>
                <w:color w:val="000000"/>
                <w:sz w:val="19"/>
              </w:rPr>
              <w:t>Agree the edition, system description, period, test approach and any combined SOC engagement.</w:t>
            </w:r>
          </w:p>
        </w:tc>
      </w:tr>
      <w:tr>
        <w:trPr>
          <w:cantSplit/>
        </w:trPr>
        <w:tc>
          <w:tcPr>
            <w:tcW w:type="dxa" w:w="1699"/>
            <w:vAlign w:val="center"/>
            <w:tcMar>
              <w:top w:w="95" w:type="dxa"/>
              <w:bottom w:w="95" w:type="dxa"/>
              <w:left w:w="95" w:type="dxa"/>
              <w:right w:w="95" w:type="dxa"/>
            </w:tcMar>
            <w:shd w:fill="FFFFFF"/>
          </w:tcPr>
          <w:p>
            <w:pPr>
              <w:keepNext w:val="0"/>
              <w:spacing w:after="40" w:before="40" w:line="245" w:lineRule="auto"/>
            </w:pPr>
            <w:r>
              <w:rPr>
                <w:b w:val="0"/>
                <w:color w:val="000000"/>
                <w:sz w:val="19"/>
              </w:rPr>
              <w:t>HIPAA</w:t>
            </w:r>
          </w:p>
        </w:tc>
        <w:tc>
          <w:tcPr>
            <w:tcW w:type="dxa" w:w="3917"/>
            <w:vAlign w:val="center"/>
            <w:tcMar>
              <w:top w:w="95" w:type="dxa"/>
              <w:bottom w:w="95" w:type="dxa"/>
              <w:left w:w="95" w:type="dxa"/>
              <w:right w:w="95" w:type="dxa"/>
            </w:tcMar>
            <w:shd w:fill="FFFFFF"/>
          </w:tcPr>
          <w:p>
            <w:pPr>
              <w:keepNext w:val="0"/>
              <w:spacing w:after="40" w:before="40" w:line="245" w:lineRule="auto"/>
            </w:pPr>
            <w:r>
              <w:rPr>
                <w:b w:val="0"/>
                <w:color w:val="000000"/>
                <w:sz w:val="19"/>
              </w:rPr>
              <w:t>Legal obligations, risk analysis, safeguards and applicable business associate agreements. [14,15]</w:t>
            </w:r>
          </w:p>
        </w:tc>
        <w:tc>
          <w:tcPr>
            <w:tcW w:type="dxa" w:w="4522"/>
            <w:vAlign w:val="center"/>
            <w:tcMar>
              <w:top w:w="95" w:type="dxa"/>
              <w:bottom w:w="95" w:type="dxa"/>
              <w:left w:w="95" w:type="dxa"/>
              <w:right w:w="95" w:type="dxa"/>
            </w:tcMar>
            <w:shd w:fill="FFFFFF"/>
          </w:tcPr>
          <w:p>
            <w:pPr>
              <w:keepNext w:val="0"/>
              <w:spacing w:after="40" w:before="40" w:line="245" w:lineRule="auto"/>
            </w:pPr>
            <w:r>
              <w:rPr>
                <w:b w:val="0"/>
                <w:color w:val="000000"/>
                <w:sz w:val="19"/>
              </w:rPr>
              <w:t>An assessment or private certificate does not replace compliance or the BAA.</w:t>
            </w:r>
          </w:p>
        </w:tc>
      </w:tr>
      <w:tr>
        <w:trPr>
          <w:cantSplit/>
        </w:trPr>
        <w:tc>
          <w:tcPr>
            <w:tcW w:type="dxa" w:w="1699"/>
            <w:vAlign w:val="center"/>
            <w:tcMar>
              <w:top w:w="95" w:type="dxa"/>
              <w:bottom w:w="95" w:type="dxa"/>
              <w:left w:w="95" w:type="dxa"/>
              <w:right w:w="95" w:type="dxa"/>
            </w:tcMar>
            <w:shd w:fill="F1F5F7"/>
          </w:tcPr>
          <w:p>
            <w:pPr>
              <w:keepNext w:val="0"/>
              <w:spacing w:after="40" w:before="40" w:line="245" w:lineRule="auto"/>
            </w:pPr>
            <w:r>
              <w:rPr>
                <w:b w:val="0"/>
                <w:color w:val="000000"/>
                <w:sz w:val="19"/>
              </w:rPr>
              <w:t>NIS2</w:t>
            </w:r>
          </w:p>
        </w:tc>
        <w:tc>
          <w:tcPr>
            <w:tcW w:type="dxa" w:w="3917"/>
            <w:vAlign w:val="center"/>
            <w:tcMar>
              <w:top w:w="95" w:type="dxa"/>
              <w:bottom w:w="95" w:type="dxa"/>
              <w:left w:w="95" w:type="dxa"/>
              <w:right w:w="95" w:type="dxa"/>
            </w:tcMar>
            <w:shd w:fill="F1F5F7"/>
          </w:tcPr>
          <w:p>
            <w:pPr>
              <w:keepNext w:val="0"/>
              <w:spacing w:after="40" w:before="40" w:line="245" w:lineRule="auto"/>
            </w:pPr>
            <w:r>
              <w:rPr>
                <w:b w:val="0"/>
                <w:color w:val="000000"/>
                <w:sz w:val="19"/>
              </w:rPr>
              <w:t>A legal and operational compliance program, implemented through applicable EU and national rules. [10]</w:t>
            </w:r>
          </w:p>
        </w:tc>
        <w:tc>
          <w:tcPr>
            <w:tcW w:type="dxa" w:w="4522"/>
            <w:vAlign w:val="center"/>
            <w:tcMar>
              <w:top w:w="95" w:type="dxa"/>
              <w:bottom w:w="95" w:type="dxa"/>
              <w:left w:w="95" w:type="dxa"/>
              <w:right w:w="95" w:type="dxa"/>
            </w:tcMar>
            <w:shd w:fill="F1F5F7"/>
          </w:tcPr>
          <w:p>
            <w:pPr>
              <w:keepNext w:val="0"/>
              <w:spacing w:after="40" w:before="40" w:line="245" w:lineRule="auto"/>
            </w:pPr>
            <w:r>
              <w:rPr>
                <w:b w:val="0"/>
                <w:color w:val="000000"/>
                <w:sz w:val="19"/>
              </w:rPr>
              <w:t>Assign legal interpretation, management accountability and incident-reporting execution.</w:t>
            </w:r>
          </w:p>
        </w:tc>
      </w:tr>
      <w:tr>
        <w:trPr>
          <w:cantSplit/>
        </w:trPr>
        <w:tc>
          <w:tcPr>
            <w:tcW w:type="dxa" w:w="1699"/>
            <w:vAlign w:val="center"/>
            <w:tcMar>
              <w:top w:w="95" w:type="dxa"/>
              <w:bottom w:w="95" w:type="dxa"/>
              <w:left w:w="95" w:type="dxa"/>
              <w:right w:w="95" w:type="dxa"/>
            </w:tcMar>
            <w:shd w:fill="FFFFFF"/>
          </w:tcPr>
          <w:p>
            <w:pPr>
              <w:keepNext w:val="0"/>
              <w:spacing w:after="40" w:before="40" w:line="245" w:lineRule="auto"/>
            </w:pPr>
            <w:r>
              <w:rPr>
                <w:b w:val="0"/>
                <w:color w:val="000000"/>
                <w:sz w:val="19"/>
              </w:rPr>
              <w:t>PCI and FedRAMP</w:t>
            </w:r>
          </w:p>
        </w:tc>
        <w:tc>
          <w:tcPr>
            <w:tcW w:type="dxa" w:w="3917"/>
            <w:vAlign w:val="center"/>
            <w:tcMar>
              <w:top w:w="95" w:type="dxa"/>
              <w:bottom w:w="95" w:type="dxa"/>
              <w:left w:w="95" w:type="dxa"/>
              <w:right w:w="95" w:type="dxa"/>
            </w:tcMar>
            <w:shd w:fill="FFFFFF"/>
          </w:tcPr>
          <w:p>
            <w:pPr>
              <w:keepNext w:val="0"/>
              <w:spacing w:after="40" w:before="40" w:line="245" w:lineRule="auto"/>
            </w:pPr>
            <w:r>
              <w:rPr>
                <w:b w:val="0"/>
                <w:color w:val="000000"/>
                <w:sz w:val="19"/>
              </w:rPr>
              <w:t>Different schemes with distinct validation and authorization artifacts. [11]</w:t>
            </w:r>
          </w:p>
        </w:tc>
        <w:tc>
          <w:tcPr>
            <w:tcW w:type="dxa" w:w="4522"/>
            <w:vAlign w:val="center"/>
            <w:tcMar>
              <w:top w:w="95" w:type="dxa"/>
              <w:bottom w:w="95" w:type="dxa"/>
              <w:left w:w="95" w:type="dxa"/>
              <w:right w:w="95" w:type="dxa"/>
            </w:tcMar>
            <w:shd w:fill="FFFFFF"/>
          </w:tcPr>
          <w:p>
            <w:pPr>
              <w:keepNext w:val="0"/>
              <w:spacing w:after="40" w:before="40" w:line="245" w:lineRule="auto"/>
            </w:pPr>
            <w:r>
              <w:rPr>
                <w:b w:val="0"/>
                <w:color w:val="000000"/>
                <w:sz w:val="19"/>
              </w:rPr>
              <w:t>Scope each separately if required; do not import a corporate claim into compute.</w:t>
            </w:r>
          </w:p>
        </w:tc>
      </w:tr>
    </w:tbl>
    <w:p>
      <w:pPr>
        <w:spacing w:after="0"/>
      </w:pPr>
      <w:r/>
    </w:p>
    <w:p>
      <w:pPr>
        <w:pStyle w:val="Heading2"/>
      </w:pPr>
      <w:r>
        <w:t>Version changes that deserve a planning question</w:t>
      </w:r>
    </w:p>
    <w:p>
      <w:r>
        <w:t>BSI has published C5:2026. ISO has published ISO/IEC 27018:2025 and ISO/IEC 27701:2025; the latter is now an independent privacy management system standard. Meanwhile, the published Akamai certificate references earlier privacy-standard editions. The correct response is a transition assessment with the certification body and control owners, rather than an assumption that an existing certificate has become invalid. [4,13,16,17]</w:t>
      </w:r>
    </w:p>
    <w:p>
      <w:pPr>
        <w:pStyle w:val="Heading2"/>
      </w:pPr>
      <w:r>
        <w:t>Useful distinctions in the discussion</w:t>
      </w:r>
    </w:p>
    <w:p>
      <w:pPr>
        <w:pStyle w:val="ListBullet"/>
      </w:pPr>
      <w:r>
        <w:t>Certification, attestation, assessment and authorization are different deliverables. Use the name of the actual artifact.</w:t>
      </w:r>
    </w:p>
    <w:p>
      <w:pPr>
        <w:pStyle w:val="ListBullet"/>
      </w:pPr>
      <w:r>
        <w:t>A common control can support multiple programs, but the populations, dates, evidence and testing may differ.</w:t>
      </w:r>
    </w:p>
    <w:p>
      <w:pPr>
        <w:pStyle w:val="ListBullet"/>
      </w:pPr>
      <w:r>
        <w:t>A data-center operator's audit can support inherited controls. It does not automatically assess Akamai's platform or customer workloads.</w:t>
      </w:r>
    </w:p>
    <w:p>
      <w:pPr>
        <w:pStyle w:val="ListBullet"/>
      </w:pPr>
      <w:r>
        <w:t>A region choice is one element of data handling. Support access, telemetry, backups and subprocessors also matter.</w:t>
      </w:r>
    </w:p>
    <w:p>
      <w:pPr>
        <w:pStyle w:val="Heading1"/>
        <w:pageBreakBefore/>
      </w:pPr>
      <w:r>
        <w:t>4  What the hiring team is likely testing</w:t>
      </w:r>
    </w:p>
    <w:p>
      <w:r>
        <w:t>The close-match posting belongs to Cloud Technology Group Product Program Management. It emphasizes turning uncertain requirements into executable technical work, coordinating engineering and legal stakeholders, capacity planning, automation and delivery visibility. Its listed experience threshold is eight years. [7]</w:t>
      </w:r>
    </w:p>
    <w:p>
      <w:r>
        <w:t>Analysis: A strong take-home should show that the candidate can make progress when requirements, ownership and dates are initially incomplete. The evaluation will likely depend on the quality of her decisions and operating model as much as the framework vocabulary.</w:t>
      </w:r>
    </w:p>
    <w:tbl>
      <w:tblPr>
        <w:tblW w:type="auto" w:w="0"/>
        <w:jc w:val="center"/>
        <w:tblLayout w:type="fixed"/>
        <w:tblLook w:firstColumn="1" w:firstRow="1" w:lastColumn="0" w:lastRow="0" w:noHBand="0" w:noVBand="1" w:val="04A0"/>
        <w:tblBorders>
          <w:top w:val="single" w:sz="5" w:color="D9D9D9"/>
          <w:left w:val="single" w:sz="5" w:color="D9D9D9"/>
          <w:bottom w:val="single" w:sz="5" w:color="D9D9D9"/>
          <w:right w:val="single" w:sz="5" w:color="D9D9D9"/>
          <w:insideH w:val="single" w:sz="5" w:color="D9D9D9"/>
          <w:insideV w:val="single" w:sz="5" w:color="D9D9D9"/>
        </w:tblBorders>
      </w:tblPr>
      <w:tblGrid>
        <w:gridCol w:w="2117"/>
        <w:gridCol w:w="8021"/>
      </w:tblGrid>
      <w:tr>
        <w:trPr>
          <w:cantSplit/>
          <w:tblHeader/>
        </w:trPr>
        <w:tc>
          <w:tcPr>
            <w:tcW w:type="dxa" w:w="2117"/>
            <w:vAlign w:val="center"/>
            <w:tcMar>
              <w:top w:w="95" w:type="dxa"/>
              <w:bottom w:w="95" w:type="dxa"/>
              <w:left w:w="95" w:type="dxa"/>
              <w:right w:w="95" w:type="dxa"/>
            </w:tcMar>
            <w:shd w:fill="17364D"/>
          </w:tcPr>
          <w:p>
            <w:pPr>
              <w:keepNext w:val="0"/>
              <w:spacing w:after="40" w:before="40" w:line="245" w:lineRule="auto"/>
            </w:pPr>
            <w:r>
              <w:rPr>
                <w:b/>
                <w:color w:val="FFFFFF"/>
                <w:sz w:val="20"/>
              </w:rPr>
              <w:t>Likely evaluation area</w:t>
            </w:r>
          </w:p>
        </w:tc>
        <w:tc>
          <w:tcPr>
            <w:tcW w:type="dxa" w:w="8021"/>
            <w:vAlign w:val="center"/>
            <w:tcMar>
              <w:top w:w="95" w:type="dxa"/>
              <w:bottom w:w="95" w:type="dxa"/>
              <w:left w:w="95" w:type="dxa"/>
              <w:right w:w="95" w:type="dxa"/>
            </w:tcMar>
            <w:shd w:fill="17364D"/>
          </w:tcPr>
          <w:p>
            <w:pPr>
              <w:keepNext w:val="0"/>
              <w:spacing w:after="40" w:before="40" w:line="245" w:lineRule="auto"/>
            </w:pPr>
            <w:r>
              <w:rPr>
                <w:b/>
                <w:color w:val="FFFFFF"/>
                <w:sz w:val="20"/>
              </w:rPr>
              <w:t>What to show in the assignment</w:t>
            </w:r>
          </w:p>
        </w:tc>
      </w:tr>
      <w:tr>
        <w:trPr>
          <w:cantSplit/>
        </w:trPr>
        <w:tc>
          <w:tcPr>
            <w:tcW w:type="dxa" w:w="2117"/>
            <w:vAlign w:val="center"/>
            <w:tcMar>
              <w:top w:w="95" w:type="dxa"/>
              <w:bottom w:w="95" w:type="dxa"/>
              <w:left w:w="95" w:type="dxa"/>
              <w:right w:w="95" w:type="dxa"/>
            </w:tcMar>
            <w:shd w:fill="FFFFFF"/>
          </w:tcPr>
          <w:p>
            <w:pPr>
              <w:keepNext w:val="0"/>
              <w:spacing w:after="40" w:before="40" w:line="245" w:lineRule="auto"/>
            </w:pPr>
            <w:r>
              <w:rPr>
                <w:b w:val="0"/>
                <w:color w:val="000000"/>
                <w:sz w:val="20"/>
              </w:rPr>
              <w:t>Problem definition</w:t>
            </w:r>
          </w:p>
        </w:tc>
        <w:tc>
          <w:tcPr>
            <w:tcW w:type="dxa" w:w="8021"/>
            <w:vAlign w:val="center"/>
            <w:tcMar>
              <w:top w:w="95" w:type="dxa"/>
              <w:bottom w:w="95" w:type="dxa"/>
              <w:left w:w="95" w:type="dxa"/>
              <w:right w:w="95" w:type="dxa"/>
            </w:tcMar>
            <w:shd w:fill="FFFFFF"/>
          </w:tcPr>
          <w:p>
            <w:pPr>
              <w:keepNext w:val="0"/>
              <w:spacing w:after="40" w:before="40" w:line="245" w:lineRule="auto"/>
            </w:pPr>
            <w:r>
              <w:rPr>
                <w:b w:val="0"/>
                <w:color w:val="000000"/>
                <w:sz w:val="20"/>
              </w:rPr>
              <w:t>A bounded service list, jurisdiction and customer requirement map, assumptions and exclusions.</w:t>
            </w:r>
          </w:p>
        </w:tc>
      </w:tr>
      <w:tr>
        <w:trPr>
          <w:cantSplit/>
        </w:trPr>
        <w:tc>
          <w:tcPr>
            <w:tcW w:type="dxa" w:w="2117"/>
            <w:vAlign w:val="center"/>
            <w:tcMar>
              <w:top w:w="95" w:type="dxa"/>
              <w:bottom w:w="95" w:type="dxa"/>
              <w:left w:w="95" w:type="dxa"/>
              <w:right w:w="95" w:type="dxa"/>
            </w:tcMar>
            <w:shd w:fill="F1F5F7"/>
          </w:tcPr>
          <w:p>
            <w:pPr>
              <w:keepNext w:val="0"/>
              <w:spacing w:after="40" w:before="40" w:line="245" w:lineRule="auto"/>
            </w:pPr>
            <w:r>
              <w:rPr>
                <w:b w:val="0"/>
                <w:color w:val="000000"/>
                <w:sz w:val="20"/>
              </w:rPr>
              <w:t>Execution judgment</w:t>
            </w:r>
          </w:p>
        </w:tc>
        <w:tc>
          <w:tcPr>
            <w:tcW w:type="dxa" w:w="8021"/>
            <w:vAlign w:val="center"/>
            <w:tcMar>
              <w:top w:w="95" w:type="dxa"/>
              <w:bottom w:w="95" w:type="dxa"/>
              <w:left w:w="95" w:type="dxa"/>
              <w:right w:w="95" w:type="dxa"/>
            </w:tcMar>
            <w:shd w:fill="F1F5F7"/>
          </w:tcPr>
          <w:p>
            <w:pPr>
              <w:keepNext w:val="0"/>
              <w:spacing w:after="40" w:before="40" w:line="245" w:lineRule="auto"/>
            </w:pPr>
            <w:r>
              <w:rPr>
                <w:b w:val="0"/>
                <w:color w:val="000000"/>
                <w:sz w:val="20"/>
              </w:rPr>
              <w:t>A dependency-aware plan, constrained capacity and gates with objective completion criteria.</w:t>
            </w:r>
          </w:p>
        </w:tc>
      </w:tr>
      <w:tr>
        <w:trPr>
          <w:cantSplit/>
        </w:trPr>
        <w:tc>
          <w:tcPr>
            <w:tcW w:type="dxa" w:w="2117"/>
            <w:vAlign w:val="center"/>
            <w:tcMar>
              <w:top w:w="95" w:type="dxa"/>
              <w:bottom w:w="95" w:type="dxa"/>
              <w:left w:w="95" w:type="dxa"/>
              <w:right w:w="95" w:type="dxa"/>
            </w:tcMar>
            <w:shd w:fill="FFFFFF"/>
          </w:tcPr>
          <w:p>
            <w:pPr>
              <w:keepNext w:val="0"/>
              <w:spacing w:after="40" w:before="40" w:line="245" w:lineRule="auto"/>
            </w:pPr>
            <w:r>
              <w:rPr>
                <w:b w:val="0"/>
                <w:color w:val="000000"/>
                <w:sz w:val="20"/>
              </w:rPr>
              <w:t>Technical fluency</w:t>
            </w:r>
          </w:p>
        </w:tc>
        <w:tc>
          <w:tcPr>
            <w:tcW w:type="dxa" w:w="8021"/>
            <w:vAlign w:val="center"/>
            <w:tcMar>
              <w:top w:w="95" w:type="dxa"/>
              <w:bottom w:w="95" w:type="dxa"/>
              <w:left w:w="95" w:type="dxa"/>
              <w:right w:w="95" w:type="dxa"/>
            </w:tcMar>
            <w:shd w:fill="FFFFFF"/>
          </w:tcPr>
          <w:p>
            <w:pPr>
              <w:keepNext w:val="0"/>
              <w:spacing w:after="40" w:before="40" w:line="245" w:lineRule="auto"/>
            </w:pPr>
            <w:r>
              <w:rPr>
                <w:b w:val="0"/>
                <w:color w:val="000000"/>
                <w:sz w:val="20"/>
              </w:rPr>
              <w:t>One worked example translating a regional or security obligation into a system requirement and evidence.</w:t>
            </w:r>
          </w:p>
        </w:tc>
      </w:tr>
      <w:tr>
        <w:trPr>
          <w:cantSplit/>
        </w:trPr>
        <w:tc>
          <w:tcPr>
            <w:tcW w:type="dxa" w:w="2117"/>
            <w:vAlign w:val="center"/>
            <w:tcMar>
              <w:top w:w="95" w:type="dxa"/>
              <w:bottom w:w="95" w:type="dxa"/>
              <w:left w:w="95" w:type="dxa"/>
              <w:right w:w="95" w:type="dxa"/>
            </w:tcMar>
            <w:shd w:fill="F1F5F7"/>
          </w:tcPr>
          <w:p>
            <w:pPr>
              <w:keepNext w:val="0"/>
              <w:spacing w:after="40" w:before="40" w:line="245" w:lineRule="auto"/>
            </w:pPr>
            <w:r>
              <w:rPr>
                <w:b w:val="0"/>
                <w:color w:val="000000"/>
                <w:sz w:val="20"/>
              </w:rPr>
              <w:t>Cross-team leadership</w:t>
            </w:r>
          </w:p>
        </w:tc>
        <w:tc>
          <w:tcPr>
            <w:tcW w:type="dxa" w:w="8021"/>
            <w:vAlign w:val="center"/>
            <w:tcMar>
              <w:top w:w="95" w:type="dxa"/>
              <w:bottom w:w="95" w:type="dxa"/>
              <w:left w:w="95" w:type="dxa"/>
              <w:right w:w="95" w:type="dxa"/>
            </w:tcMar>
            <w:shd w:fill="F1F5F7"/>
          </w:tcPr>
          <w:p>
            <w:pPr>
              <w:keepNext w:val="0"/>
              <w:spacing w:after="40" w:before="40" w:line="245" w:lineRule="auto"/>
            </w:pPr>
            <w:r>
              <w:rPr>
                <w:b w:val="0"/>
                <w:color w:val="000000"/>
                <w:sz w:val="20"/>
              </w:rPr>
              <w:t>Named accountable roles, an escalation path and a way to resolve conflicting priorities.</w:t>
            </w:r>
          </w:p>
        </w:tc>
      </w:tr>
      <w:tr>
        <w:trPr>
          <w:cantSplit/>
        </w:trPr>
        <w:tc>
          <w:tcPr>
            <w:tcW w:type="dxa" w:w="2117"/>
            <w:vAlign w:val="center"/>
            <w:tcMar>
              <w:top w:w="95" w:type="dxa"/>
              <w:bottom w:w="95" w:type="dxa"/>
              <w:left w:w="95" w:type="dxa"/>
              <w:right w:w="95" w:type="dxa"/>
            </w:tcMar>
            <w:shd w:fill="FFFFFF"/>
          </w:tcPr>
          <w:p>
            <w:pPr>
              <w:keepNext w:val="0"/>
              <w:spacing w:after="40" w:before="40" w:line="245" w:lineRule="auto"/>
            </w:pPr>
            <w:r>
              <w:rPr>
                <w:b w:val="0"/>
                <w:color w:val="000000"/>
                <w:sz w:val="20"/>
              </w:rPr>
              <w:t>Assurance credibility</w:t>
            </w:r>
          </w:p>
        </w:tc>
        <w:tc>
          <w:tcPr>
            <w:tcW w:type="dxa" w:w="8021"/>
            <w:vAlign w:val="center"/>
            <w:tcMar>
              <w:top w:w="95" w:type="dxa"/>
              <w:bottom w:w="95" w:type="dxa"/>
              <w:left w:w="95" w:type="dxa"/>
              <w:right w:w="95" w:type="dxa"/>
            </w:tcMar>
            <w:shd w:fill="FFFFFF"/>
          </w:tcPr>
          <w:p>
            <w:pPr>
              <w:keepNext w:val="0"/>
              <w:spacing w:after="40" w:before="40" w:line="245" w:lineRule="auto"/>
            </w:pPr>
            <w:r>
              <w:rPr>
                <w:b w:val="0"/>
                <w:color w:val="000000"/>
                <w:sz w:val="20"/>
              </w:rPr>
              <w:t>A distinction between deployed controls, accepted evidence, operating effectiveness and issued reports.</w:t>
            </w:r>
          </w:p>
        </w:tc>
      </w:tr>
      <w:tr>
        <w:trPr>
          <w:cantSplit/>
        </w:trPr>
        <w:tc>
          <w:tcPr>
            <w:tcW w:type="dxa" w:w="2117"/>
            <w:vAlign w:val="center"/>
            <w:tcMar>
              <w:top w:w="95" w:type="dxa"/>
              <w:bottom w:w="95" w:type="dxa"/>
              <w:left w:w="95" w:type="dxa"/>
              <w:right w:w="95" w:type="dxa"/>
            </w:tcMar>
            <w:shd w:fill="F1F5F7"/>
          </w:tcPr>
          <w:p>
            <w:pPr>
              <w:keepNext w:val="0"/>
              <w:spacing w:after="40" w:before="40" w:line="245" w:lineRule="auto"/>
            </w:pPr>
            <w:r>
              <w:rPr>
                <w:b w:val="0"/>
                <w:color w:val="000000"/>
                <w:sz w:val="20"/>
              </w:rPr>
              <w:t>Communication</w:t>
            </w:r>
          </w:p>
        </w:tc>
        <w:tc>
          <w:tcPr>
            <w:tcW w:type="dxa" w:w="8021"/>
            <w:vAlign w:val="center"/>
            <w:tcMar>
              <w:top w:w="95" w:type="dxa"/>
              <w:bottom w:w="95" w:type="dxa"/>
              <w:left w:w="95" w:type="dxa"/>
              <w:right w:w="95" w:type="dxa"/>
            </w:tcMar>
            <w:shd w:fill="F1F5F7"/>
          </w:tcPr>
          <w:p>
            <w:pPr>
              <w:keepNext w:val="0"/>
              <w:spacing w:after="40" w:before="40" w:line="245" w:lineRule="auto"/>
            </w:pPr>
            <w:r>
              <w:rPr>
                <w:b w:val="0"/>
                <w:color w:val="000000"/>
                <w:sz w:val="20"/>
              </w:rPr>
              <w:t>A concise steering update stating what changed, what is at risk and which decision is needed.</w:t>
            </w:r>
          </w:p>
        </w:tc>
      </w:tr>
    </w:tbl>
    <w:p>
      <w:pPr>
        <w:spacing w:after="0"/>
      </w:pPr>
      <w:r/>
    </w:p>
    <w:p>
      <w:pPr>
        <w:pStyle w:val="Heading2"/>
      </w:pPr>
      <w:r>
        <w:t>Likely needs to validate early</w:t>
      </w:r>
    </w:p>
    <w:p>
      <w:r>
        <w:t>First, confirm whether the immediate objective is a new assessment, renewal, Type 2 progression, expansion of coverage or regulatory alignment. Next, test whether the bottleneck is missing functionality, unclear ownership, unreliable evidence or insufficient engineering capacity. These demand different delivery plans.</w:t>
      </w:r>
    </w:p>
    <w:p>
      <w:r>
        <w:t>Expect regional boundaries to cut across teams: a product may run in a chosen region while support tooling, security telemetry or recovery processes operate elsewhere. Treat this as an architecture and operating-model question with legal interpretation, not a checklist item owned only by GRC.</w:t>
      </w:r>
    </w:p>
    <w:p>
      <w:pPr>
        <w:pStyle w:val="Heading2"/>
      </w:pPr>
      <w:r>
        <w:t>How to handle integration respectfully</w:t>
      </w:r>
    </w:p>
    <w:p>
      <w:r>
        <w:t>Begin with the practices that already work. Pair platform engineers with corporate control owners and agree measurable outcomes. Preserve effective local implementations where they meet the requirements; standardize definitions, evidence quality and accountability. Record where shared enterprise services genuinely provide a control and where the cloud team must implement a distinct one.</w:t>
      </w:r>
    </w:p>
    <w:p>
      <w:r>
        <w:t>Avoid characterizing the acquired business as deficient or assuming that corporate policy adoption proves technical integration. The useful question is whether the control operates consistently across the agreed boundary.</w:t>
      </w:r>
    </w:p>
    <w:p>
      <w:pPr>
        <w:pStyle w:val="Heading1"/>
        <w:pageBreakBefore/>
      </w:pPr>
      <w:r>
        <w:t>5  Proposed program charter</w:t>
      </w:r>
    </w:p>
    <w:p>
      <w:pPr>
        <w:pStyle w:val="Heading2"/>
      </w:pPr>
      <w:r>
        <w:t>Objective</w:t>
      </w:r>
    </w:p>
    <w:p>
      <w:r>
        <w:t>Enable the selected Akamai Cloud offerings to satisfy approved assurance and regulatory commitments, with verifiable controls, sustainable evidence collection and clear customer responsibilities.</w:t>
      </w:r>
    </w:p>
    <w:p>
      <w:pPr>
        <w:pStyle w:val="Heading2"/>
      </w:pPr>
      <w:r>
        <w:t>Scope to agree before committing to dates</w:t>
      </w:r>
    </w:p>
    <w:p>
      <w:pPr>
        <w:pStyle w:val="ListBullet"/>
      </w:pPr>
      <w:r>
        <w:t>Services and configurations: compute plans, storage, LKE, databases, networking, APIs, management interfaces and supporting systems, as applicable.</w:t>
      </w:r>
    </w:p>
    <w:p>
      <w:pPr>
        <w:pStyle w:val="ListBullet"/>
      </w:pPr>
      <w:r>
        <w:t>Geography and entities: operating and contracting entities, selected regions, data centers, remote support, vendors and cross-border access.</w:t>
      </w:r>
    </w:p>
    <w:p>
      <w:pPr>
        <w:pStyle w:val="ListBullet"/>
      </w:pPr>
      <w:r>
        <w:t>Data and processing: customer content, account data, telemetry, tickets, backups, cryptographic keys and evidence repositories.</w:t>
      </w:r>
    </w:p>
    <w:p>
      <w:pPr>
        <w:pStyle w:val="ListBullet"/>
      </w:pPr>
      <w:r>
        <w:t>Assurance outcomes: exact framework, edition, assessment type, period, report recipient and business deadline.</w:t>
      </w:r>
    </w:p>
    <w:p>
      <w:pPr>
        <w:pStyle w:val="ListBullet"/>
      </w:pPr>
      <w:r>
        <w:t>Dependencies: common enterprise controls, colocation services, product releases, staffing and assessor availability.</w:t>
      </w:r>
    </w:p>
    <w:p>
      <w:pPr>
        <w:pStyle w:val="Heading2"/>
      </w:pPr>
      <w:r>
        <w:t>The first two weeks</w:t>
      </w:r>
    </w:p>
    <w:p>
      <w:r>
        <w:t>Run separate intake sessions with the sponsor, compliance lead, legal and privacy leads, engineering leadership and product management. Collect the current evidence package before the joint workshop. Bring a draft boundary diagram, obligations register, launch calendar and list of unresolved decisions to that workshop.</w:t>
      </w:r>
    </w:p>
    <w:p>
      <w:r>
        <w:t>Leave the workshop with a sponsor-approved charter, one accountable owner for each major deliverable, a list of assumptions with validation dates, and an initial risk and dependency register. Publish decisions in an accessible record and route engineering work into the teams' existing backlogs.</w:t>
      </w:r>
    </w:p>
    <w:p>
      <w:pPr>
        <w:pStyle w:val="Heading2"/>
      </w:pPr>
      <w:r>
        <w:t>Prioritization method</w:t>
      </w:r>
    </w:p>
    <w:p>
      <w:r>
        <w:t>Separate mandatory legal duties, signed customer obligations and optional commercial expansion. Within each category, compare customer impact, risk reduction, dependency value and effort. Give priority to work that unlocks multiple requirements, while preserving the mandatory dates and unique requirements of each framework.</w:t>
      </w:r>
    </w:p>
    <w:p>
      <w:pPr>
        <w:pStyle w:val="Heading2"/>
      </w:pPr>
      <w:r>
        <w:t>Definition of done</w:t>
      </w:r>
    </w:p>
    <w:p>
      <w:r>
        <w:t>Each requirement has an approved interpretation, an in-scope implementation, an accountable operator, an accepted test, and evidence with a defined population and period. Findings are corrected and retested or handled through a permitted, documented disposition. The appropriate assessor issues the artifact, and the operating team accepts the renewal and monitoring duties.</w:t>
      </w:r>
    </w:p>
    <w:p>
      <w:r>
        <w:t>Scope changes, including a new region or managed service, trigger impact analysis. The sponsor approves material changes to cost, scope or timing. Legal duties and independent assessment conclusions are not waived by a sponsor's risk acceptance.</w:t>
      </w:r>
    </w:p>
    <w:p>
      <w:pPr>
        <w:pStyle w:val="Heading1"/>
        <w:pageBreakBefore/>
      </w:pPr>
      <w:r>
        <w:t>6  Who owns which decisions</w:t>
      </w:r>
    </w:p>
    <w:p>
      <w:r>
        <w:t>This is a proposed role model. Assign actual people during kickoff and give each deliverable exactly one accountable owner. The program manager coordinates execution; control owners retain responsibility for operating their controls.</w:t>
      </w:r>
    </w:p>
    <w:tbl>
      <w:tblPr>
        <w:tblW w:type="auto" w:w="0"/>
        <w:jc w:val="center"/>
        <w:tblLayout w:type="fixed"/>
        <w:tblLook w:firstColumn="1" w:firstRow="1" w:lastColumn="0" w:lastRow="0" w:noHBand="0" w:noVBand="1" w:val="04A0"/>
        <w:tblBorders>
          <w:top w:val="single" w:sz="5" w:color="D9D9D9"/>
          <w:left w:val="single" w:sz="5" w:color="D9D9D9"/>
          <w:bottom w:val="single" w:sz="5" w:color="D9D9D9"/>
          <w:right w:val="single" w:sz="5" w:color="D9D9D9"/>
          <w:insideH w:val="single" w:sz="5" w:color="D9D9D9"/>
          <w:insideV w:val="single" w:sz="5" w:color="D9D9D9"/>
        </w:tblBorders>
      </w:tblPr>
      <w:tblGrid>
        <w:gridCol w:w="2952"/>
        <w:gridCol w:w="2304"/>
        <w:gridCol w:w="4882"/>
      </w:tblGrid>
      <w:tr>
        <w:trPr>
          <w:cantSplit/>
          <w:tblHeader/>
        </w:trPr>
        <w:tc>
          <w:tcPr>
            <w:tcW w:type="dxa" w:w="2952"/>
            <w:vAlign w:val="center"/>
            <w:tcMar>
              <w:top w:w="95" w:type="dxa"/>
              <w:bottom w:w="95" w:type="dxa"/>
              <w:left w:w="95" w:type="dxa"/>
              <w:right w:w="95" w:type="dxa"/>
            </w:tcMar>
            <w:shd w:fill="17364D"/>
          </w:tcPr>
          <w:p>
            <w:pPr>
              <w:keepNext w:val="0"/>
              <w:spacing w:after="40" w:before="40" w:line="245" w:lineRule="auto"/>
            </w:pPr>
            <w:r>
              <w:rPr>
                <w:b/>
                <w:color w:val="FFFFFF"/>
                <w:sz w:val="19"/>
              </w:rPr>
              <w:t>Decision or deliverable</w:t>
            </w:r>
          </w:p>
        </w:tc>
        <w:tc>
          <w:tcPr>
            <w:tcW w:type="dxa" w:w="2304"/>
            <w:vAlign w:val="center"/>
            <w:tcMar>
              <w:top w:w="95" w:type="dxa"/>
              <w:bottom w:w="95" w:type="dxa"/>
              <w:left w:w="95" w:type="dxa"/>
              <w:right w:w="95" w:type="dxa"/>
            </w:tcMar>
            <w:shd w:fill="17364D"/>
          </w:tcPr>
          <w:p>
            <w:pPr>
              <w:keepNext w:val="0"/>
              <w:spacing w:after="40" w:before="40" w:line="245" w:lineRule="auto"/>
            </w:pPr>
            <w:r>
              <w:rPr>
                <w:b/>
                <w:color w:val="FFFFFF"/>
                <w:sz w:val="19"/>
              </w:rPr>
              <w:t>Accountable role</w:t>
            </w:r>
          </w:p>
        </w:tc>
        <w:tc>
          <w:tcPr>
            <w:tcW w:type="dxa" w:w="4882"/>
            <w:vAlign w:val="center"/>
            <w:tcMar>
              <w:top w:w="95" w:type="dxa"/>
              <w:bottom w:w="95" w:type="dxa"/>
              <w:left w:w="95" w:type="dxa"/>
              <w:right w:w="95" w:type="dxa"/>
            </w:tcMar>
            <w:shd w:fill="17364D"/>
          </w:tcPr>
          <w:p>
            <w:pPr>
              <w:keepNext w:val="0"/>
              <w:spacing w:after="40" w:before="40" w:line="245" w:lineRule="auto"/>
            </w:pPr>
            <w:r>
              <w:rPr>
                <w:b/>
                <w:color w:val="FFFFFF"/>
                <w:sz w:val="19"/>
              </w:rPr>
              <w:t>Responsible contributors</w:t>
            </w:r>
          </w:p>
        </w:tc>
      </w:tr>
      <w:tr>
        <w:trPr>
          <w:cantSplit/>
        </w:trPr>
        <w:tc>
          <w:tcPr>
            <w:tcW w:type="dxa" w:w="2952"/>
            <w:vAlign w:val="center"/>
            <w:tcMar>
              <w:top w:w="95" w:type="dxa"/>
              <w:bottom w:w="95" w:type="dxa"/>
              <w:left w:w="95" w:type="dxa"/>
              <w:right w:w="95" w:type="dxa"/>
            </w:tcMar>
            <w:shd w:fill="FFFFFF"/>
          </w:tcPr>
          <w:p>
            <w:pPr>
              <w:keepNext w:val="0"/>
              <w:spacing w:after="40" w:before="40" w:line="245" w:lineRule="auto"/>
            </w:pPr>
            <w:r>
              <w:rPr>
                <w:b w:val="0"/>
                <w:color w:val="000000"/>
                <w:sz w:val="19"/>
              </w:rPr>
              <w:t>Business scope and funding</w:t>
            </w:r>
          </w:p>
        </w:tc>
        <w:tc>
          <w:tcPr>
            <w:tcW w:type="dxa" w:w="2304"/>
            <w:vAlign w:val="center"/>
            <w:tcMar>
              <w:top w:w="95" w:type="dxa"/>
              <w:bottom w:w="95" w:type="dxa"/>
              <w:left w:w="95" w:type="dxa"/>
              <w:right w:w="95" w:type="dxa"/>
            </w:tcMar>
            <w:shd w:fill="FFFFFF"/>
          </w:tcPr>
          <w:p>
            <w:pPr>
              <w:keepNext w:val="0"/>
              <w:spacing w:after="40" w:before="40" w:line="245" w:lineRule="auto"/>
            </w:pPr>
            <w:r>
              <w:rPr>
                <w:b w:val="0"/>
                <w:color w:val="000000"/>
                <w:sz w:val="19"/>
              </w:rPr>
              <w:t>Cloud executive sponsor</w:t>
            </w:r>
          </w:p>
        </w:tc>
        <w:tc>
          <w:tcPr>
            <w:tcW w:type="dxa" w:w="4882"/>
            <w:vAlign w:val="center"/>
            <w:tcMar>
              <w:top w:w="95" w:type="dxa"/>
              <w:bottom w:w="95" w:type="dxa"/>
              <w:left w:w="95" w:type="dxa"/>
              <w:right w:w="95" w:type="dxa"/>
            </w:tcMar>
            <w:shd w:fill="FFFFFF"/>
          </w:tcPr>
          <w:p>
            <w:pPr>
              <w:keepNext w:val="0"/>
              <w:spacing w:after="40" w:before="40" w:line="245" w:lineRule="auto"/>
            </w:pPr>
            <w:r>
              <w:rPr>
                <w:b w:val="0"/>
                <w:color w:val="000000"/>
                <w:sz w:val="19"/>
              </w:rPr>
              <w:t>Product, finance, engineering leaders; TPM prepares options.</w:t>
            </w:r>
          </w:p>
        </w:tc>
      </w:tr>
      <w:tr>
        <w:trPr>
          <w:cantSplit/>
        </w:trPr>
        <w:tc>
          <w:tcPr>
            <w:tcW w:type="dxa" w:w="2952"/>
            <w:vAlign w:val="center"/>
            <w:tcMar>
              <w:top w:w="95" w:type="dxa"/>
              <w:bottom w:w="95" w:type="dxa"/>
              <w:left w:w="95" w:type="dxa"/>
              <w:right w:w="95" w:type="dxa"/>
            </w:tcMar>
            <w:shd w:fill="F1F5F7"/>
          </w:tcPr>
          <w:p>
            <w:pPr>
              <w:keepNext w:val="0"/>
              <w:spacing w:after="40" w:before="40" w:line="245" w:lineRule="auto"/>
            </w:pPr>
            <w:r>
              <w:rPr>
                <w:b w:val="0"/>
                <w:color w:val="000000"/>
                <w:sz w:val="19"/>
              </w:rPr>
              <w:t>Legal applicability and commitments</w:t>
            </w:r>
          </w:p>
        </w:tc>
        <w:tc>
          <w:tcPr>
            <w:tcW w:type="dxa" w:w="2304"/>
            <w:vAlign w:val="center"/>
            <w:tcMar>
              <w:top w:w="95" w:type="dxa"/>
              <w:bottom w:w="95" w:type="dxa"/>
              <w:left w:w="95" w:type="dxa"/>
              <w:right w:w="95" w:type="dxa"/>
            </w:tcMar>
            <w:shd w:fill="F1F5F7"/>
          </w:tcPr>
          <w:p>
            <w:pPr>
              <w:keepNext w:val="0"/>
              <w:spacing w:after="40" w:before="40" w:line="245" w:lineRule="auto"/>
            </w:pPr>
            <w:r>
              <w:rPr>
                <w:b w:val="0"/>
                <w:color w:val="000000"/>
                <w:sz w:val="19"/>
              </w:rPr>
              <w:t>Legal or privacy lead</w:t>
            </w:r>
          </w:p>
        </w:tc>
        <w:tc>
          <w:tcPr>
            <w:tcW w:type="dxa" w:w="4882"/>
            <w:vAlign w:val="center"/>
            <w:tcMar>
              <w:top w:w="95" w:type="dxa"/>
              <w:bottom w:w="95" w:type="dxa"/>
              <w:left w:w="95" w:type="dxa"/>
              <w:right w:w="95" w:type="dxa"/>
            </w:tcMar>
            <w:shd w:fill="F1F5F7"/>
          </w:tcPr>
          <w:p>
            <w:pPr>
              <w:keepNext w:val="0"/>
              <w:spacing w:after="40" w:before="40" w:line="245" w:lineRule="auto"/>
            </w:pPr>
            <w:r>
              <w:rPr>
                <w:b w:val="0"/>
                <w:color w:val="000000"/>
                <w:sz w:val="19"/>
              </w:rPr>
              <w:t>Regional counsel, GRC and product supply facts.</w:t>
            </w:r>
          </w:p>
        </w:tc>
      </w:tr>
      <w:tr>
        <w:trPr>
          <w:cantSplit/>
        </w:trPr>
        <w:tc>
          <w:tcPr>
            <w:tcW w:type="dxa" w:w="2952"/>
            <w:vAlign w:val="center"/>
            <w:tcMar>
              <w:top w:w="95" w:type="dxa"/>
              <w:bottom w:w="95" w:type="dxa"/>
              <w:left w:w="95" w:type="dxa"/>
              <w:right w:w="95" w:type="dxa"/>
            </w:tcMar>
            <w:shd w:fill="FFFFFF"/>
          </w:tcPr>
          <w:p>
            <w:pPr>
              <w:keepNext w:val="0"/>
              <w:spacing w:after="40" w:before="40" w:line="245" w:lineRule="auto"/>
            </w:pPr>
            <w:r>
              <w:rPr>
                <w:b w:val="0"/>
                <w:color w:val="000000"/>
                <w:sz w:val="19"/>
              </w:rPr>
              <w:t>Control framework and assurance scope</w:t>
            </w:r>
          </w:p>
        </w:tc>
        <w:tc>
          <w:tcPr>
            <w:tcW w:type="dxa" w:w="2304"/>
            <w:vAlign w:val="center"/>
            <w:tcMar>
              <w:top w:w="95" w:type="dxa"/>
              <w:bottom w:w="95" w:type="dxa"/>
              <w:left w:w="95" w:type="dxa"/>
              <w:right w:w="95" w:type="dxa"/>
            </w:tcMar>
            <w:shd w:fill="FFFFFF"/>
          </w:tcPr>
          <w:p>
            <w:pPr>
              <w:keepNext w:val="0"/>
              <w:spacing w:after="40" w:before="40" w:line="245" w:lineRule="auto"/>
            </w:pPr>
            <w:r>
              <w:rPr>
                <w:b w:val="0"/>
                <w:color w:val="000000"/>
                <w:sz w:val="19"/>
              </w:rPr>
              <w:t>GRC or compliance lead</w:t>
            </w:r>
          </w:p>
        </w:tc>
        <w:tc>
          <w:tcPr>
            <w:tcW w:type="dxa" w:w="4882"/>
            <w:vAlign w:val="center"/>
            <w:tcMar>
              <w:top w:w="95" w:type="dxa"/>
              <w:bottom w:w="95" w:type="dxa"/>
              <w:left w:w="95" w:type="dxa"/>
              <w:right w:w="95" w:type="dxa"/>
            </w:tcMar>
            <w:shd w:fill="FFFFFF"/>
          </w:tcPr>
          <w:p>
            <w:pPr>
              <w:keepNext w:val="0"/>
              <w:spacing w:after="40" w:before="40" w:line="245" w:lineRule="auto"/>
            </w:pPr>
            <w:r>
              <w:rPr>
                <w:b w:val="0"/>
                <w:color w:val="000000"/>
                <w:sz w:val="19"/>
              </w:rPr>
              <w:t>Security architecture and service owners; assessor consulted.</w:t>
            </w:r>
          </w:p>
        </w:tc>
      </w:tr>
      <w:tr>
        <w:trPr>
          <w:cantSplit/>
        </w:trPr>
        <w:tc>
          <w:tcPr>
            <w:tcW w:type="dxa" w:w="2952"/>
            <w:vAlign w:val="center"/>
            <w:tcMar>
              <w:top w:w="95" w:type="dxa"/>
              <w:bottom w:w="95" w:type="dxa"/>
              <w:left w:w="95" w:type="dxa"/>
              <w:right w:w="95" w:type="dxa"/>
            </w:tcMar>
            <w:shd w:fill="F1F5F7"/>
          </w:tcPr>
          <w:p>
            <w:pPr>
              <w:keepNext w:val="0"/>
              <w:spacing w:after="40" w:before="40" w:line="245" w:lineRule="auto"/>
            </w:pPr>
            <w:r>
              <w:rPr>
                <w:b w:val="0"/>
                <w:color w:val="000000"/>
                <w:sz w:val="19"/>
              </w:rPr>
              <w:t>Technical design and remediation</w:t>
            </w:r>
          </w:p>
        </w:tc>
        <w:tc>
          <w:tcPr>
            <w:tcW w:type="dxa" w:w="2304"/>
            <w:vAlign w:val="center"/>
            <w:tcMar>
              <w:top w:w="95" w:type="dxa"/>
              <w:bottom w:w="95" w:type="dxa"/>
              <w:left w:w="95" w:type="dxa"/>
              <w:right w:w="95" w:type="dxa"/>
            </w:tcMar>
            <w:shd w:fill="F1F5F7"/>
          </w:tcPr>
          <w:p>
            <w:pPr>
              <w:keepNext w:val="0"/>
              <w:spacing w:after="40" w:before="40" w:line="245" w:lineRule="auto"/>
            </w:pPr>
            <w:r>
              <w:rPr>
                <w:b w:val="0"/>
                <w:color w:val="000000"/>
                <w:sz w:val="19"/>
              </w:rPr>
              <w:t>Relevant engineering leader</w:t>
            </w:r>
          </w:p>
        </w:tc>
        <w:tc>
          <w:tcPr>
            <w:tcW w:type="dxa" w:w="4882"/>
            <w:vAlign w:val="center"/>
            <w:tcMar>
              <w:top w:w="95" w:type="dxa"/>
              <w:bottom w:w="95" w:type="dxa"/>
              <w:left w:w="95" w:type="dxa"/>
              <w:right w:w="95" w:type="dxa"/>
            </w:tcMar>
            <w:shd w:fill="F1F5F7"/>
          </w:tcPr>
          <w:p>
            <w:pPr>
              <w:keepNext w:val="0"/>
              <w:spacing w:after="40" w:before="40" w:line="245" w:lineRule="auto"/>
            </w:pPr>
            <w:r>
              <w:rPr>
                <w:b w:val="0"/>
                <w:color w:val="000000"/>
                <w:sz w:val="19"/>
              </w:rPr>
              <w:t>Platform, SRE, storage, networking, IAM and security teams.</w:t>
            </w:r>
          </w:p>
        </w:tc>
      </w:tr>
      <w:tr>
        <w:trPr>
          <w:cantSplit/>
        </w:trPr>
        <w:tc>
          <w:tcPr>
            <w:tcW w:type="dxa" w:w="2952"/>
            <w:vAlign w:val="center"/>
            <w:tcMar>
              <w:top w:w="95" w:type="dxa"/>
              <w:bottom w:w="95" w:type="dxa"/>
              <w:left w:w="95" w:type="dxa"/>
              <w:right w:w="95" w:type="dxa"/>
            </w:tcMar>
            <w:shd w:fill="FFFFFF"/>
          </w:tcPr>
          <w:p>
            <w:pPr>
              <w:keepNext w:val="0"/>
              <w:spacing w:after="40" w:before="40" w:line="245" w:lineRule="auto"/>
            </w:pPr>
            <w:r>
              <w:rPr>
                <w:b w:val="0"/>
                <w:color w:val="000000"/>
                <w:sz w:val="19"/>
              </w:rPr>
              <w:t>Operational control and evidence</w:t>
            </w:r>
          </w:p>
        </w:tc>
        <w:tc>
          <w:tcPr>
            <w:tcW w:type="dxa" w:w="2304"/>
            <w:vAlign w:val="center"/>
            <w:tcMar>
              <w:top w:w="95" w:type="dxa"/>
              <w:bottom w:w="95" w:type="dxa"/>
              <w:left w:w="95" w:type="dxa"/>
              <w:right w:w="95" w:type="dxa"/>
            </w:tcMar>
            <w:shd w:fill="FFFFFF"/>
          </w:tcPr>
          <w:p>
            <w:pPr>
              <w:keepNext w:val="0"/>
              <w:spacing w:after="40" w:before="40" w:line="245" w:lineRule="auto"/>
            </w:pPr>
            <w:r>
              <w:rPr>
                <w:b w:val="0"/>
                <w:color w:val="000000"/>
                <w:sz w:val="19"/>
              </w:rPr>
              <w:t>Named control owner</w:t>
            </w:r>
          </w:p>
        </w:tc>
        <w:tc>
          <w:tcPr>
            <w:tcW w:type="dxa" w:w="4882"/>
            <w:vAlign w:val="center"/>
            <w:tcMar>
              <w:top w:w="95" w:type="dxa"/>
              <w:bottom w:w="95" w:type="dxa"/>
              <w:left w:w="95" w:type="dxa"/>
              <w:right w:w="95" w:type="dxa"/>
            </w:tcMar>
            <w:shd w:fill="FFFFFF"/>
          </w:tcPr>
          <w:p>
            <w:pPr>
              <w:keepNext w:val="0"/>
              <w:spacing w:after="40" w:before="40" w:line="245" w:lineRule="auto"/>
            </w:pPr>
            <w:r>
              <w:rPr>
                <w:b w:val="0"/>
                <w:color w:val="000000"/>
                <w:sz w:val="19"/>
              </w:rPr>
              <w:t>Operations staff and evidence automation engineers.</w:t>
            </w:r>
          </w:p>
        </w:tc>
      </w:tr>
      <w:tr>
        <w:trPr>
          <w:cantSplit/>
        </w:trPr>
        <w:tc>
          <w:tcPr>
            <w:tcW w:type="dxa" w:w="2952"/>
            <w:vAlign w:val="center"/>
            <w:tcMar>
              <w:top w:w="95" w:type="dxa"/>
              <w:bottom w:w="95" w:type="dxa"/>
              <w:left w:w="95" w:type="dxa"/>
              <w:right w:w="95" w:type="dxa"/>
            </w:tcMar>
            <w:shd w:fill="F1F5F7"/>
          </w:tcPr>
          <w:p>
            <w:pPr>
              <w:keepNext w:val="0"/>
              <w:spacing w:after="40" w:before="40" w:line="245" w:lineRule="auto"/>
            </w:pPr>
            <w:r>
              <w:rPr>
                <w:b w:val="0"/>
                <w:color w:val="000000"/>
                <w:sz w:val="19"/>
              </w:rPr>
              <w:t>Integrated plan and dependency management</w:t>
            </w:r>
          </w:p>
        </w:tc>
        <w:tc>
          <w:tcPr>
            <w:tcW w:type="dxa" w:w="2304"/>
            <w:vAlign w:val="center"/>
            <w:tcMar>
              <w:top w:w="95" w:type="dxa"/>
              <w:bottom w:w="95" w:type="dxa"/>
              <w:left w:w="95" w:type="dxa"/>
              <w:right w:w="95" w:type="dxa"/>
            </w:tcMar>
            <w:shd w:fill="F1F5F7"/>
          </w:tcPr>
          <w:p>
            <w:pPr>
              <w:keepNext w:val="0"/>
              <w:spacing w:after="40" w:before="40" w:line="245" w:lineRule="auto"/>
            </w:pPr>
            <w:r>
              <w:rPr>
                <w:b w:val="0"/>
                <w:color w:val="000000"/>
                <w:sz w:val="19"/>
              </w:rPr>
              <w:t>Program manager</w:t>
            </w:r>
          </w:p>
        </w:tc>
        <w:tc>
          <w:tcPr>
            <w:tcW w:type="dxa" w:w="4882"/>
            <w:vAlign w:val="center"/>
            <w:tcMar>
              <w:top w:w="95" w:type="dxa"/>
              <w:bottom w:w="95" w:type="dxa"/>
              <w:left w:w="95" w:type="dxa"/>
              <w:right w:w="95" w:type="dxa"/>
            </w:tcMar>
            <w:shd w:fill="F1F5F7"/>
          </w:tcPr>
          <w:p>
            <w:pPr>
              <w:keepNext w:val="0"/>
              <w:spacing w:after="40" w:before="40" w:line="245" w:lineRule="auto"/>
            </w:pPr>
            <w:r>
              <w:rPr>
                <w:b w:val="0"/>
                <w:color w:val="000000"/>
                <w:sz w:val="19"/>
              </w:rPr>
              <w:t>Workstream leads commit estimates, owners and progress.</w:t>
            </w:r>
          </w:p>
        </w:tc>
      </w:tr>
      <w:tr>
        <w:trPr>
          <w:cantSplit/>
        </w:trPr>
        <w:tc>
          <w:tcPr>
            <w:tcW w:type="dxa" w:w="2952"/>
            <w:vAlign w:val="center"/>
            <w:tcMar>
              <w:top w:w="95" w:type="dxa"/>
              <w:bottom w:w="95" w:type="dxa"/>
              <w:left w:w="95" w:type="dxa"/>
              <w:right w:w="95" w:type="dxa"/>
            </w:tcMar>
            <w:shd w:fill="FFFFFF"/>
          </w:tcPr>
          <w:p>
            <w:pPr>
              <w:keepNext w:val="0"/>
              <w:spacing w:after="40" w:before="40" w:line="245" w:lineRule="auto"/>
            </w:pPr>
            <w:r>
              <w:rPr>
                <w:b w:val="0"/>
                <w:color w:val="000000"/>
                <w:sz w:val="19"/>
              </w:rPr>
              <w:t>Assessment conclusion</w:t>
            </w:r>
          </w:p>
        </w:tc>
        <w:tc>
          <w:tcPr>
            <w:tcW w:type="dxa" w:w="2304"/>
            <w:vAlign w:val="center"/>
            <w:tcMar>
              <w:top w:w="95" w:type="dxa"/>
              <w:bottom w:w="95" w:type="dxa"/>
              <w:left w:w="95" w:type="dxa"/>
              <w:right w:w="95" w:type="dxa"/>
            </w:tcMar>
            <w:shd w:fill="FFFFFF"/>
          </w:tcPr>
          <w:p>
            <w:pPr>
              <w:keepNext w:val="0"/>
              <w:spacing w:after="40" w:before="40" w:line="245" w:lineRule="auto"/>
            </w:pPr>
            <w:r>
              <w:rPr>
                <w:b w:val="0"/>
                <w:color w:val="000000"/>
                <w:sz w:val="19"/>
              </w:rPr>
              <w:t>Independent assessor</w:t>
            </w:r>
          </w:p>
        </w:tc>
        <w:tc>
          <w:tcPr>
            <w:tcW w:type="dxa" w:w="4882"/>
            <w:vAlign w:val="center"/>
            <w:tcMar>
              <w:top w:w="95" w:type="dxa"/>
              <w:bottom w:w="95" w:type="dxa"/>
              <w:left w:w="95" w:type="dxa"/>
              <w:right w:w="95" w:type="dxa"/>
            </w:tcMar>
            <w:shd w:fill="FFFFFF"/>
          </w:tcPr>
          <w:p>
            <w:pPr>
              <w:keepNext w:val="0"/>
              <w:spacing w:after="40" w:before="40" w:line="245" w:lineRule="auto"/>
            </w:pPr>
            <w:r>
              <w:rPr>
                <w:b w:val="0"/>
                <w:color w:val="000000"/>
                <w:sz w:val="19"/>
              </w:rPr>
              <w:t>Company teams provide accurate descriptions and evidence.</w:t>
            </w:r>
          </w:p>
        </w:tc>
      </w:tr>
      <w:tr>
        <w:trPr>
          <w:cantSplit/>
        </w:trPr>
        <w:tc>
          <w:tcPr>
            <w:tcW w:type="dxa" w:w="2952"/>
            <w:vAlign w:val="center"/>
            <w:tcMar>
              <w:top w:w="95" w:type="dxa"/>
              <w:bottom w:w="95" w:type="dxa"/>
              <w:left w:w="95" w:type="dxa"/>
              <w:right w:w="95" w:type="dxa"/>
            </w:tcMar>
            <w:shd w:fill="F1F5F7"/>
          </w:tcPr>
          <w:p>
            <w:pPr>
              <w:keepNext w:val="0"/>
              <w:spacing w:after="40" w:before="40" w:line="245" w:lineRule="auto"/>
            </w:pPr>
            <w:r>
              <w:rPr>
                <w:b w:val="0"/>
                <w:color w:val="000000"/>
                <w:sz w:val="19"/>
              </w:rPr>
              <w:t>Customer claims and supporting materials</w:t>
            </w:r>
          </w:p>
        </w:tc>
        <w:tc>
          <w:tcPr>
            <w:tcW w:type="dxa" w:w="2304"/>
            <w:vAlign w:val="center"/>
            <w:tcMar>
              <w:top w:w="95" w:type="dxa"/>
              <w:bottom w:w="95" w:type="dxa"/>
              <w:left w:w="95" w:type="dxa"/>
              <w:right w:w="95" w:type="dxa"/>
            </w:tcMar>
            <w:shd w:fill="F1F5F7"/>
          </w:tcPr>
          <w:p>
            <w:pPr>
              <w:keepNext w:val="0"/>
              <w:spacing w:after="40" w:before="40" w:line="245" w:lineRule="auto"/>
            </w:pPr>
            <w:r>
              <w:rPr>
                <w:b w:val="0"/>
                <w:color w:val="000000"/>
                <w:sz w:val="19"/>
              </w:rPr>
              <w:t>Designated assurance lead</w:t>
            </w:r>
          </w:p>
        </w:tc>
        <w:tc>
          <w:tcPr>
            <w:tcW w:type="dxa" w:w="4882"/>
            <w:vAlign w:val="center"/>
            <w:tcMar>
              <w:top w:w="95" w:type="dxa"/>
              <w:bottom w:w="95" w:type="dxa"/>
              <w:left w:w="95" w:type="dxa"/>
              <w:right w:w="95" w:type="dxa"/>
            </w:tcMar>
            <w:shd w:fill="F1F5F7"/>
          </w:tcPr>
          <w:p>
            <w:pPr>
              <w:keepNext w:val="0"/>
              <w:spacing w:after="40" w:before="40" w:line="245" w:lineRule="auto"/>
            </w:pPr>
            <w:r>
              <w:rPr>
                <w:b w:val="0"/>
                <w:color w:val="000000"/>
                <w:sz w:val="19"/>
              </w:rPr>
              <w:t>Legal approves claims; product, sales and support use them.</w:t>
            </w:r>
          </w:p>
        </w:tc>
      </w:tr>
    </w:tbl>
    <w:p>
      <w:pPr>
        <w:spacing w:after="0"/>
      </w:pPr>
      <w:r/>
    </w:p>
    <w:p>
      <w:pPr>
        <w:pStyle w:val="Heading2"/>
      </w:pPr>
      <w:r>
        <w:t>Governance cadence</w:t>
      </w:r>
    </w:p>
    <w:p>
      <w:r>
        <w:t>Weekly workstream review: owners update blockers, critical dependencies, accepted evidence and upcoming changes. Use working sessions to resolve technical issues rather than discussing every ticket in a large status meeting.</w:t>
      </w:r>
    </w:p>
    <w:p>
      <w:r>
        <w:t>Biweekly program review: the TPM and workstream leads review the critical path, capacity, decisions, audit requests and forecast changes. Maintain one risk, assumption, issue and dependency register, often called a RAID log.</w:t>
      </w:r>
    </w:p>
    <w:p>
      <w:r>
        <w:t>Monthly steering review: the executive sponsor decides resource trade-offs and material scope or schedule changes. Every escalation includes options, cost, customer impact, a recommendation, a decision owner and a decision-by date.</w:t>
      </w:r>
    </w:p>
    <w:p>
      <w:pPr>
        <w:pStyle w:val="Heading2"/>
      </w:pPr>
      <w:r>
        <w:t>Working with an independent assessor</w:t>
      </w:r>
    </w:p>
    <w:p>
      <w:r>
        <w:t>Align early on scope, evidence expectations, period and scheduling, while preserving assessor independence. The team owns the controls and factual system description. An assessor can clarify criteria and examine evidence; the program manager cannot negotiate a favorable opinion or treat preliminary discussion as a guarantee.</w:t>
      </w:r>
    </w:p>
    <w:p>
      <w:pPr>
        <w:pStyle w:val="Heading1"/>
        <w:pageBreakBefore/>
      </w:pPr>
      <w:r>
        <w:t>7  First 90 days and the assessment path</w:t>
      </w:r>
    </w:p>
    <w:p>
      <w:r>
        <w:t>Illustrative plan: the day ranges below are planning targets. Existing control maturity, evidence history, scope and staffing determine the actual assessment schedule. A completed 90-day readiness plan is not a promise of every report or authorization within 90 days.</w:t>
      </w:r>
    </w:p>
    <w:tbl>
      <w:tblPr>
        <w:tblW w:type="auto" w:w="0"/>
        <w:jc w:val="center"/>
        <w:tblLayout w:type="fixed"/>
        <w:tblLook w:firstColumn="1" w:firstRow="1" w:lastColumn="0" w:lastRow="0" w:noHBand="0" w:noVBand="1" w:val="04A0"/>
        <w:tblBorders>
          <w:top w:val="single" w:sz="5" w:color="D9D9D9"/>
          <w:left w:val="single" w:sz="5" w:color="D9D9D9"/>
          <w:bottom w:val="single" w:sz="5" w:color="D9D9D9"/>
          <w:right w:val="single" w:sz="5" w:color="D9D9D9"/>
          <w:insideH w:val="single" w:sz="5" w:color="D9D9D9"/>
          <w:insideV w:val="single" w:sz="5" w:color="D9D9D9"/>
        </w:tblBorders>
      </w:tblPr>
      <w:tblGrid>
        <w:gridCol w:w="1483"/>
        <w:gridCol w:w="4421"/>
        <w:gridCol w:w="4234"/>
      </w:tblGrid>
      <w:tr>
        <w:trPr>
          <w:cantSplit/>
          <w:tblHeader/>
        </w:trPr>
        <w:tc>
          <w:tcPr>
            <w:tcW w:type="dxa" w:w="1483"/>
            <w:vAlign w:val="center"/>
            <w:tcMar>
              <w:top w:w="95" w:type="dxa"/>
              <w:bottom w:w="95" w:type="dxa"/>
              <w:left w:w="95" w:type="dxa"/>
              <w:right w:w="95" w:type="dxa"/>
            </w:tcMar>
            <w:shd w:fill="17364D"/>
          </w:tcPr>
          <w:p>
            <w:pPr>
              <w:keepNext w:val="0"/>
              <w:spacing w:after="40" w:before="40" w:line="245" w:lineRule="auto"/>
            </w:pPr>
            <w:r>
              <w:rPr>
                <w:b/>
                <w:color w:val="FFFFFF"/>
                <w:sz w:val="19"/>
              </w:rPr>
              <w:t>Period</w:t>
            </w:r>
          </w:p>
        </w:tc>
        <w:tc>
          <w:tcPr>
            <w:tcW w:type="dxa" w:w="4421"/>
            <w:vAlign w:val="center"/>
            <w:tcMar>
              <w:top w:w="95" w:type="dxa"/>
              <w:bottom w:w="95" w:type="dxa"/>
              <w:left w:w="95" w:type="dxa"/>
              <w:right w:w="95" w:type="dxa"/>
            </w:tcMar>
            <w:shd w:fill="17364D"/>
          </w:tcPr>
          <w:p>
            <w:pPr>
              <w:keepNext w:val="0"/>
              <w:spacing w:after="40" w:before="40" w:line="245" w:lineRule="auto"/>
            </w:pPr>
            <w:r>
              <w:rPr>
                <w:b/>
                <w:color w:val="FFFFFF"/>
                <w:sz w:val="19"/>
              </w:rPr>
              <w:t>Primary work</w:t>
            </w:r>
          </w:p>
        </w:tc>
        <w:tc>
          <w:tcPr>
            <w:tcW w:type="dxa" w:w="4234"/>
            <w:vAlign w:val="center"/>
            <w:tcMar>
              <w:top w:w="95" w:type="dxa"/>
              <w:bottom w:w="95" w:type="dxa"/>
              <w:left w:w="95" w:type="dxa"/>
              <w:right w:w="95" w:type="dxa"/>
            </w:tcMar>
            <w:shd w:fill="17364D"/>
          </w:tcPr>
          <w:p>
            <w:pPr>
              <w:keepNext w:val="0"/>
              <w:spacing w:after="40" w:before="40" w:line="245" w:lineRule="auto"/>
            </w:pPr>
            <w:r>
              <w:rPr>
                <w:b/>
                <w:color w:val="FFFFFF"/>
                <w:sz w:val="19"/>
              </w:rPr>
              <w:t>Exit criteria</w:t>
            </w:r>
          </w:p>
        </w:tc>
      </w:tr>
      <w:tr>
        <w:trPr>
          <w:cantSplit/>
        </w:trPr>
        <w:tc>
          <w:tcPr>
            <w:tcW w:type="dxa" w:w="1483"/>
            <w:vAlign w:val="center"/>
            <w:tcMar>
              <w:top w:w="95" w:type="dxa"/>
              <w:bottom w:w="95" w:type="dxa"/>
              <w:left w:w="95" w:type="dxa"/>
              <w:right w:w="95" w:type="dxa"/>
            </w:tcMar>
            <w:shd w:fill="FFFFFF"/>
          </w:tcPr>
          <w:p>
            <w:pPr>
              <w:keepNext w:val="0"/>
              <w:spacing w:after="40" w:before="40" w:line="245" w:lineRule="auto"/>
            </w:pPr>
            <w:r>
              <w:rPr>
                <w:b w:val="0"/>
                <w:color w:val="000000"/>
                <w:sz w:val="19"/>
              </w:rPr>
              <w:t>Days 1 to 15</w:t>
            </w:r>
          </w:p>
        </w:tc>
        <w:tc>
          <w:tcPr>
            <w:tcW w:type="dxa" w:w="4421"/>
            <w:vAlign w:val="center"/>
            <w:tcMar>
              <w:top w:w="95" w:type="dxa"/>
              <w:bottom w:w="95" w:type="dxa"/>
              <w:left w:w="95" w:type="dxa"/>
              <w:right w:w="95" w:type="dxa"/>
            </w:tcMar>
            <w:shd w:fill="FFFFFF"/>
          </w:tcPr>
          <w:p>
            <w:pPr>
              <w:keepNext w:val="0"/>
              <w:spacing w:after="40" w:before="40" w:line="245" w:lineRule="auto"/>
            </w:pPr>
            <w:r>
              <w:rPr>
                <w:b w:val="0"/>
                <w:color w:val="000000"/>
                <w:sz w:val="19"/>
              </w:rPr>
              <w:t>Confirm business need, reports, boundary, obligations, ownership and assessor engagement.</w:t>
            </w:r>
          </w:p>
        </w:tc>
        <w:tc>
          <w:tcPr>
            <w:tcW w:type="dxa" w:w="4234"/>
            <w:vAlign w:val="center"/>
            <w:tcMar>
              <w:top w:w="95" w:type="dxa"/>
              <w:bottom w:w="95" w:type="dxa"/>
              <w:left w:w="95" w:type="dxa"/>
              <w:right w:w="95" w:type="dxa"/>
            </w:tcMar>
            <w:shd w:fill="FFFFFF"/>
          </w:tcPr>
          <w:p>
            <w:pPr>
              <w:keepNext w:val="0"/>
              <w:spacing w:after="40" w:before="40" w:line="245" w:lineRule="auto"/>
            </w:pPr>
            <w:r>
              <w:rPr>
                <w:b w:val="0"/>
                <w:color w:val="000000"/>
                <w:sz w:val="19"/>
              </w:rPr>
              <w:t>Sponsor approves charter; GRC and legal accept the initial scope and applicability decisions.</w:t>
            </w:r>
          </w:p>
        </w:tc>
      </w:tr>
      <w:tr>
        <w:trPr>
          <w:cantSplit/>
        </w:trPr>
        <w:tc>
          <w:tcPr>
            <w:tcW w:type="dxa" w:w="1483"/>
            <w:vAlign w:val="center"/>
            <w:tcMar>
              <w:top w:w="95" w:type="dxa"/>
              <w:bottom w:w="95" w:type="dxa"/>
              <w:left w:w="95" w:type="dxa"/>
              <w:right w:w="95" w:type="dxa"/>
            </w:tcMar>
            <w:shd w:fill="F1F5F7"/>
          </w:tcPr>
          <w:p>
            <w:pPr>
              <w:keepNext w:val="0"/>
              <w:spacing w:after="40" w:before="40" w:line="245" w:lineRule="auto"/>
            </w:pPr>
            <w:r>
              <w:rPr>
                <w:b w:val="0"/>
                <w:color w:val="000000"/>
                <w:sz w:val="19"/>
              </w:rPr>
              <w:t>Days 16 to 30</w:t>
            </w:r>
          </w:p>
        </w:tc>
        <w:tc>
          <w:tcPr>
            <w:tcW w:type="dxa" w:w="4421"/>
            <w:vAlign w:val="center"/>
            <w:tcMar>
              <w:top w:w="95" w:type="dxa"/>
              <w:bottom w:w="95" w:type="dxa"/>
              <w:left w:w="95" w:type="dxa"/>
              <w:right w:w="95" w:type="dxa"/>
            </w:tcMar>
            <w:shd w:fill="F1F5F7"/>
          </w:tcPr>
          <w:p>
            <w:pPr>
              <w:keepNext w:val="0"/>
              <w:spacing w:after="40" w:before="40" w:line="245" w:lineRule="auto"/>
            </w:pPr>
            <w:r>
              <w:rPr>
                <w:b w:val="0"/>
                <w:color w:val="000000"/>
                <w:sz w:val="19"/>
              </w:rPr>
              <w:t>Map controls, test a sample of existing evidence, identify gaps and estimate remediation.</w:t>
            </w:r>
          </w:p>
        </w:tc>
        <w:tc>
          <w:tcPr>
            <w:tcW w:type="dxa" w:w="4234"/>
            <w:vAlign w:val="center"/>
            <w:tcMar>
              <w:top w:w="95" w:type="dxa"/>
              <w:bottom w:w="95" w:type="dxa"/>
              <w:left w:w="95" w:type="dxa"/>
              <w:right w:w="95" w:type="dxa"/>
            </w:tcMar>
            <w:shd w:fill="F1F5F7"/>
          </w:tcPr>
          <w:p>
            <w:pPr>
              <w:keepNext w:val="0"/>
              <w:spacing w:after="40" w:before="40" w:line="245" w:lineRule="auto"/>
            </w:pPr>
            <w:r>
              <w:rPr>
                <w:b w:val="0"/>
                <w:color w:val="000000"/>
                <w:sz w:val="19"/>
              </w:rPr>
              <w:t>Prioritized backlog, capacity commitments, dependency map and a defensible milestone forecast.</w:t>
            </w:r>
          </w:p>
        </w:tc>
      </w:tr>
      <w:tr>
        <w:trPr>
          <w:cantSplit/>
        </w:trPr>
        <w:tc>
          <w:tcPr>
            <w:tcW w:type="dxa" w:w="1483"/>
            <w:vAlign w:val="center"/>
            <w:tcMar>
              <w:top w:w="95" w:type="dxa"/>
              <w:bottom w:w="95" w:type="dxa"/>
              <w:left w:w="95" w:type="dxa"/>
              <w:right w:w="95" w:type="dxa"/>
            </w:tcMar>
            <w:shd w:fill="FFFFFF"/>
          </w:tcPr>
          <w:p>
            <w:pPr>
              <w:keepNext w:val="0"/>
              <w:spacing w:after="40" w:before="40" w:line="245" w:lineRule="auto"/>
            </w:pPr>
            <w:r>
              <w:rPr>
                <w:b w:val="0"/>
                <w:color w:val="000000"/>
                <w:sz w:val="19"/>
              </w:rPr>
              <w:t>Days 31 to 60</w:t>
            </w:r>
          </w:p>
        </w:tc>
        <w:tc>
          <w:tcPr>
            <w:tcW w:type="dxa" w:w="4421"/>
            <w:vAlign w:val="center"/>
            <w:tcMar>
              <w:top w:w="95" w:type="dxa"/>
              <w:bottom w:w="95" w:type="dxa"/>
              <w:left w:w="95" w:type="dxa"/>
              <w:right w:w="95" w:type="dxa"/>
            </w:tcMar>
            <w:shd w:fill="FFFFFF"/>
          </w:tcPr>
          <w:p>
            <w:pPr>
              <w:keepNext w:val="0"/>
              <w:spacing w:after="40" w:before="40" w:line="245" w:lineRule="auto"/>
            </w:pPr>
            <w:r>
              <w:rPr>
                <w:b w:val="0"/>
                <w:color w:val="000000"/>
                <w:sz w:val="19"/>
              </w:rPr>
              <w:t>Deliver priority changes, operationalize evidence, test shared controls and update procedures.</w:t>
            </w:r>
          </w:p>
        </w:tc>
        <w:tc>
          <w:tcPr>
            <w:tcW w:type="dxa" w:w="4234"/>
            <w:vAlign w:val="center"/>
            <w:tcMar>
              <w:top w:w="95" w:type="dxa"/>
              <w:bottom w:w="95" w:type="dxa"/>
              <w:left w:w="95" w:type="dxa"/>
              <w:right w:w="95" w:type="dxa"/>
            </w:tcMar>
            <w:shd w:fill="FFFFFF"/>
          </w:tcPr>
          <w:p>
            <w:pPr>
              <w:keepNext w:val="0"/>
              <w:spacing w:after="40" w:before="40" w:line="245" w:lineRule="auto"/>
            </w:pPr>
            <w:r>
              <w:rPr>
                <w:b w:val="0"/>
                <w:color w:val="000000"/>
                <w:sz w:val="19"/>
              </w:rPr>
              <w:t>Critical controls have operators and passing tests; evidence collection is functioning for the pilot.</w:t>
            </w:r>
          </w:p>
        </w:tc>
      </w:tr>
      <w:tr>
        <w:trPr>
          <w:cantSplit/>
        </w:trPr>
        <w:tc>
          <w:tcPr>
            <w:tcW w:type="dxa" w:w="1483"/>
            <w:vAlign w:val="center"/>
            <w:tcMar>
              <w:top w:w="95" w:type="dxa"/>
              <w:bottom w:w="95" w:type="dxa"/>
              <w:left w:w="95" w:type="dxa"/>
              <w:right w:w="95" w:type="dxa"/>
            </w:tcMar>
            <w:shd w:fill="F1F5F7"/>
          </w:tcPr>
          <w:p>
            <w:pPr>
              <w:keepNext w:val="0"/>
              <w:spacing w:after="40" w:before="40" w:line="245" w:lineRule="auto"/>
            </w:pPr>
            <w:r>
              <w:rPr>
                <w:b w:val="0"/>
                <w:color w:val="000000"/>
                <w:sz w:val="19"/>
              </w:rPr>
              <w:t>Days 61 to 90</w:t>
            </w:r>
          </w:p>
        </w:tc>
        <w:tc>
          <w:tcPr>
            <w:tcW w:type="dxa" w:w="4421"/>
            <w:vAlign w:val="center"/>
            <w:tcMar>
              <w:top w:w="95" w:type="dxa"/>
              <w:bottom w:w="95" w:type="dxa"/>
              <w:left w:w="95" w:type="dxa"/>
              <w:right w:w="95" w:type="dxa"/>
            </w:tcMar>
            <w:shd w:fill="F1F5F7"/>
          </w:tcPr>
          <w:p>
            <w:pPr>
              <w:keepNext w:val="0"/>
              <w:spacing w:after="40" w:before="40" w:line="245" w:lineRule="auto"/>
            </w:pPr>
            <w:r>
              <w:rPr>
                <w:b w:val="0"/>
                <w:color w:val="000000"/>
                <w:sz w:val="19"/>
              </w:rPr>
              <w:t>Complete readiness review, rehearse audit requests and incident workflows, resolve major blockers.</w:t>
            </w:r>
          </w:p>
        </w:tc>
        <w:tc>
          <w:tcPr>
            <w:tcW w:type="dxa" w:w="4234"/>
            <w:vAlign w:val="center"/>
            <w:tcMar>
              <w:top w:w="95" w:type="dxa"/>
              <w:bottom w:w="95" w:type="dxa"/>
              <w:left w:w="95" w:type="dxa"/>
              <w:right w:w="95" w:type="dxa"/>
            </w:tcMar>
            <w:shd w:fill="F1F5F7"/>
          </w:tcPr>
          <w:p>
            <w:pPr>
              <w:keepNext w:val="0"/>
              <w:spacing w:after="40" w:before="40" w:line="245" w:lineRule="auto"/>
            </w:pPr>
            <w:r>
              <w:rPr>
                <w:b w:val="0"/>
                <w:color w:val="000000"/>
                <w:sz w:val="19"/>
              </w:rPr>
              <w:t>Assessment entry decision, approved residual issues, agreed observation strategy and operational ownership.</w:t>
            </w:r>
          </w:p>
        </w:tc>
      </w:tr>
      <w:tr>
        <w:trPr>
          <w:cantSplit/>
        </w:trPr>
        <w:tc>
          <w:tcPr>
            <w:tcW w:type="dxa" w:w="1483"/>
            <w:vAlign w:val="center"/>
            <w:tcMar>
              <w:top w:w="95" w:type="dxa"/>
              <w:bottom w:w="95" w:type="dxa"/>
              <w:left w:w="95" w:type="dxa"/>
              <w:right w:w="95" w:type="dxa"/>
            </w:tcMar>
            <w:shd w:fill="FFFFFF"/>
          </w:tcPr>
          <w:p>
            <w:pPr>
              <w:keepNext w:val="0"/>
              <w:spacing w:after="40" w:before="40" w:line="245" w:lineRule="auto"/>
            </w:pPr>
            <w:r>
              <w:rPr>
                <w:b w:val="0"/>
                <w:color w:val="000000"/>
                <w:sz w:val="19"/>
              </w:rPr>
              <w:t>After day 90</w:t>
            </w:r>
          </w:p>
        </w:tc>
        <w:tc>
          <w:tcPr>
            <w:tcW w:type="dxa" w:w="4421"/>
            <w:vAlign w:val="center"/>
            <w:tcMar>
              <w:top w:w="95" w:type="dxa"/>
              <w:bottom w:w="95" w:type="dxa"/>
              <w:left w:w="95" w:type="dxa"/>
              <w:right w:w="95" w:type="dxa"/>
            </w:tcMar>
            <w:shd w:fill="FFFFFF"/>
          </w:tcPr>
          <w:p>
            <w:pPr>
              <w:keepNext w:val="0"/>
              <w:spacing w:after="40" w:before="40" w:line="245" w:lineRule="auto"/>
            </w:pPr>
            <w:r>
              <w:rPr>
                <w:b w:val="0"/>
                <w:color w:val="000000"/>
                <w:sz w:val="19"/>
              </w:rPr>
              <w:t>Sustain controls, complete the agreed observation period, support examination and resolve findings.</w:t>
            </w:r>
          </w:p>
        </w:tc>
        <w:tc>
          <w:tcPr>
            <w:tcW w:type="dxa" w:w="4234"/>
            <w:vAlign w:val="center"/>
            <w:tcMar>
              <w:top w:w="95" w:type="dxa"/>
              <w:bottom w:w="95" w:type="dxa"/>
              <w:left w:w="95" w:type="dxa"/>
              <w:right w:w="95" w:type="dxa"/>
            </w:tcMar>
            <w:shd w:fill="FFFFFF"/>
          </w:tcPr>
          <w:p>
            <w:pPr>
              <w:keepNext w:val="0"/>
              <w:spacing w:after="40" w:before="40" w:line="245" w:lineRule="auto"/>
            </w:pPr>
            <w:r>
              <w:rPr>
                <w:b w:val="0"/>
                <w:color w:val="000000"/>
                <w:sz w:val="19"/>
              </w:rPr>
              <w:t>Issued assessment artifact for the actual scope; renewal and monitoring cadence active.</w:t>
            </w:r>
          </w:p>
        </w:tc>
      </w:tr>
    </w:tbl>
    <w:p>
      <w:pPr>
        <w:spacing w:after="0"/>
      </w:pPr>
      <w:r/>
    </w:p>
    <w:p>
      <w:pPr>
        <w:pStyle w:val="Heading2"/>
      </w:pPr>
      <w:r>
        <w:t>What determines the critical path</w:t>
      </w:r>
    </w:p>
    <w:p>
      <w:r>
        <w:t>Scope approval must precede a reliable gap assessment. Engineering implementation must precede evidence of the new control operating. Complete operating evidence must precede the relevant Type 2 conclusion. Assessor fieldwork, remediation and report issuance each require time. Parallelize independent engineering work and framework mapping, but preserve these dependencies.</w:t>
      </w:r>
    </w:p>
    <w:p>
      <w:r>
        <w:t>For a hypothetical new Type 2 effort, if readiness takes three months, the parties choose a six-month observation period, and examination and issuance need one or two further months, the rough planning envelope is ten to eleven months from kickoff. This is arithmetic for a scenario, not an Akamai estimate or a mandatory audit duration. Existing acceptable evidence and a different agreed period could change it substantially.</w:t>
      </w:r>
    </w:p>
    <w:p>
      <w:pPr>
        <w:pStyle w:val="Heading2"/>
      </w:pPr>
      <w:r>
        <w:t>Gates that make dates credible</w:t>
      </w:r>
    </w:p>
    <w:p>
      <w:pPr>
        <w:pStyle w:val="ListBullet"/>
      </w:pPr>
      <w:r>
        <w:t>Baseline gate: scope, obligations, resources and assessment approach approved.</w:t>
      </w:r>
    </w:p>
    <w:p>
      <w:pPr>
        <w:pStyle w:val="ListBullet"/>
      </w:pPr>
      <w:r>
        <w:t>Readiness gate: controls implemented and tested; evidence populations and collection schedules accepted.</w:t>
      </w:r>
    </w:p>
    <w:p>
      <w:pPr>
        <w:pStyle w:val="ListBullet"/>
      </w:pPr>
      <w:r>
        <w:t>Assurance gate: required period and tests complete; findings addressed appropriately; actual artifact issued.</w:t>
      </w:r>
    </w:p>
    <w:p>
      <w:pPr>
        <w:pStyle w:val="ListBullet"/>
      </w:pPr>
      <w:r>
        <w:t>Operational gate: owners accept recurring tests, change reviews, evidence retention and renewal dates.</w:t>
      </w:r>
    </w:p>
    <w:p>
      <w:pPr>
        <w:pStyle w:val="Heading1"/>
        <w:pageBreakBefore/>
      </w:pPr>
      <w:r>
        <w:t>8  Workstreams and concrete deliverables</w:t>
      </w:r>
    </w:p>
    <w:tbl>
      <w:tblPr>
        <w:tblW w:type="auto" w:w="0"/>
        <w:jc w:val="center"/>
        <w:tblLayout w:type="fixed"/>
        <w:tblLook w:firstColumn="1" w:firstRow="1" w:lastColumn="0" w:lastRow="0" w:noHBand="0" w:noVBand="1" w:val="04A0"/>
        <w:tblBorders>
          <w:top w:val="single" w:sz="5" w:color="D9D9D9"/>
          <w:left w:val="single" w:sz="5" w:color="D9D9D9"/>
          <w:bottom w:val="single" w:sz="5" w:color="D9D9D9"/>
          <w:right w:val="single" w:sz="5" w:color="D9D9D9"/>
          <w:insideH w:val="single" w:sz="5" w:color="D9D9D9"/>
          <w:insideV w:val="single" w:sz="5" w:color="D9D9D9"/>
        </w:tblBorders>
      </w:tblPr>
      <w:tblGrid>
        <w:gridCol w:w="1670"/>
        <w:gridCol w:w="4406"/>
        <w:gridCol w:w="4061"/>
      </w:tblGrid>
      <w:tr>
        <w:trPr>
          <w:cantSplit/>
          <w:tblHeader/>
        </w:trPr>
        <w:tc>
          <w:tcPr>
            <w:tcW w:type="dxa" w:w="1670"/>
            <w:vAlign w:val="center"/>
            <w:tcMar>
              <w:top w:w="95" w:type="dxa"/>
              <w:bottom w:w="95" w:type="dxa"/>
              <w:left w:w="95" w:type="dxa"/>
              <w:right w:w="95" w:type="dxa"/>
            </w:tcMar>
            <w:shd w:fill="17364D"/>
          </w:tcPr>
          <w:p>
            <w:pPr>
              <w:keepNext w:val="0"/>
              <w:spacing w:after="40" w:before="40" w:line="245" w:lineRule="auto"/>
            </w:pPr>
            <w:r>
              <w:rPr>
                <w:b/>
                <w:color w:val="FFFFFF"/>
                <w:sz w:val="19"/>
              </w:rPr>
              <w:t>Workstream</w:t>
            </w:r>
          </w:p>
        </w:tc>
        <w:tc>
          <w:tcPr>
            <w:tcW w:type="dxa" w:w="4406"/>
            <w:vAlign w:val="center"/>
            <w:tcMar>
              <w:top w:w="95" w:type="dxa"/>
              <w:bottom w:w="95" w:type="dxa"/>
              <w:left w:w="95" w:type="dxa"/>
              <w:right w:w="95" w:type="dxa"/>
            </w:tcMar>
            <w:shd w:fill="17364D"/>
          </w:tcPr>
          <w:p>
            <w:pPr>
              <w:keepNext w:val="0"/>
              <w:spacing w:after="40" w:before="40" w:line="245" w:lineRule="auto"/>
            </w:pPr>
            <w:r>
              <w:rPr>
                <w:b/>
                <w:color w:val="FFFFFF"/>
                <w:sz w:val="19"/>
              </w:rPr>
              <w:t>Work to coordinate</w:t>
            </w:r>
          </w:p>
        </w:tc>
        <w:tc>
          <w:tcPr>
            <w:tcW w:type="dxa" w:w="4061"/>
            <w:vAlign w:val="center"/>
            <w:tcMar>
              <w:top w:w="95" w:type="dxa"/>
              <w:bottom w:w="95" w:type="dxa"/>
              <w:left w:w="95" w:type="dxa"/>
              <w:right w:w="95" w:type="dxa"/>
            </w:tcMar>
            <w:shd w:fill="17364D"/>
          </w:tcPr>
          <w:p>
            <w:pPr>
              <w:keepNext w:val="0"/>
              <w:spacing w:after="40" w:before="40" w:line="245" w:lineRule="auto"/>
            </w:pPr>
            <w:r>
              <w:rPr>
                <w:b/>
                <w:color w:val="FFFFFF"/>
                <w:sz w:val="19"/>
              </w:rPr>
              <w:t>Reviewable output</w:t>
            </w:r>
          </w:p>
        </w:tc>
      </w:tr>
      <w:tr>
        <w:trPr>
          <w:cantSplit/>
        </w:trPr>
        <w:tc>
          <w:tcPr>
            <w:tcW w:type="dxa" w:w="1670"/>
            <w:vAlign w:val="center"/>
            <w:tcMar>
              <w:top w:w="95" w:type="dxa"/>
              <w:bottom w:w="95" w:type="dxa"/>
              <w:left w:w="95" w:type="dxa"/>
              <w:right w:w="95" w:type="dxa"/>
            </w:tcMar>
            <w:shd w:fill="FFFFFF"/>
          </w:tcPr>
          <w:p>
            <w:pPr>
              <w:keepNext w:val="0"/>
              <w:spacing w:after="40" w:before="40" w:line="245" w:lineRule="auto"/>
            </w:pPr>
            <w:r>
              <w:rPr>
                <w:b w:val="0"/>
                <w:color w:val="000000"/>
                <w:sz w:val="19"/>
              </w:rPr>
              <w:t>Scope and obligations</w:t>
            </w:r>
          </w:p>
        </w:tc>
        <w:tc>
          <w:tcPr>
            <w:tcW w:type="dxa" w:w="4406"/>
            <w:vAlign w:val="center"/>
            <w:tcMar>
              <w:top w:w="95" w:type="dxa"/>
              <w:bottom w:w="95" w:type="dxa"/>
              <w:left w:w="95" w:type="dxa"/>
              <w:right w:w="95" w:type="dxa"/>
            </w:tcMar>
            <w:shd w:fill="FFFFFF"/>
          </w:tcPr>
          <w:p>
            <w:pPr>
              <w:keepNext w:val="0"/>
              <w:spacing w:after="40" w:before="40" w:line="245" w:lineRule="auto"/>
            </w:pPr>
            <w:r>
              <w:rPr>
                <w:b w:val="0"/>
                <w:color w:val="000000"/>
                <w:sz w:val="19"/>
              </w:rPr>
              <w:t>Map services, entities, regions, data flows and customer or legal requirements.</w:t>
            </w:r>
          </w:p>
        </w:tc>
        <w:tc>
          <w:tcPr>
            <w:tcW w:type="dxa" w:w="4061"/>
            <w:vAlign w:val="center"/>
            <w:tcMar>
              <w:top w:w="95" w:type="dxa"/>
              <w:bottom w:w="95" w:type="dxa"/>
              <w:left w:w="95" w:type="dxa"/>
              <w:right w:w="95" w:type="dxa"/>
            </w:tcMar>
            <w:shd w:fill="FFFFFF"/>
          </w:tcPr>
          <w:p>
            <w:pPr>
              <w:keepNext w:val="0"/>
              <w:spacing w:after="40" w:before="40" w:line="245" w:lineRule="auto"/>
            </w:pPr>
            <w:r>
              <w:rPr>
                <w:b w:val="0"/>
                <w:color w:val="000000"/>
                <w:sz w:val="19"/>
              </w:rPr>
              <w:t>Boundary diagram, obligations register and applicability decisions.</w:t>
            </w:r>
          </w:p>
        </w:tc>
      </w:tr>
      <w:tr>
        <w:trPr>
          <w:cantSplit/>
        </w:trPr>
        <w:tc>
          <w:tcPr>
            <w:tcW w:type="dxa" w:w="1670"/>
            <w:vAlign w:val="center"/>
            <w:tcMar>
              <w:top w:w="95" w:type="dxa"/>
              <w:bottom w:w="95" w:type="dxa"/>
              <w:left w:w="95" w:type="dxa"/>
              <w:right w:w="95" w:type="dxa"/>
            </w:tcMar>
            <w:shd w:fill="F1F5F7"/>
          </w:tcPr>
          <w:p>
            <w:pPr>
              <w:keepNext w:val="0"/>
              <w:spacing w:after="40" w:before="40" w:line="245" w:lineRule="auto"/>
            </w:pPr>
            <w:r>
              <w:rPr>
                <w:b w:val="0"/>
                <w:color w:val="000000"/>
                <w:sz w:val="19"/>
              </w:rPr>
              <w:t>Control integration</w:t>
            </w:r>
          </w:p>
        </w:tc>
        <w:tc>
          <w:tcPr>
            <w:tcW w:type="dxa" w:w="4406"/>
            <w:vAlign w:val="center"/>
            <w:tcMar>
              <w:top w:w="95" w:type="dxa"/>
              <w:bottom w:w="95" w:type="dxa"/>
              <w:left w:w="95" w:type="dxa"/>
              <w:right w:w="95" w:type="dxa"/>
            </w:tcMar>
            <w:shd w:fill="F1F5F7"/>
          </w:tcPr>
          <w:p>
            <w:pPr>
              <w:keepNext w:val="0"/>
              <w:spacing w:after="40" w:before="40" w:line="245" w:lineRule="auto"/>
            </w:pPr>
            <w:r>
              <w:rPr>
                <w:b w:val="0"/>
                <w:color w:val="000000"/>
                <w:sz w:val="19"/>
              </w:rPr>
              <w:t>Classify controls as inherited, shared or cloud-specific and map to each framework.</w:t>
            </w:r>
          </w:p>
        </w:tc>
        <w:tc>
          <w:tcPr>
            <w:tcW w:type="dxa" w:w="4061"/>
            <w:vAlign w:val="center"/>
            <w:tcMar>
              <w:top w:w="95" w:type="dxa"/>
              <w:bottom w:w="95" w:type="dxa"/>
              <w:left w:w="95" w:type="dxa"/>
              <w:right w:w="95" w:type="dxa"/>
            </w:tcMar>
            <w:shd w:fill="F1F5F7"/>
          </w:tcPr>
          <w:p>
            <w:pPr>
              <w:keepNext w:val="0"/>
              <w:spacing w:after="40" w:before="40" w:line="245" w:lineRule="auto"/>
            </w:pPr>
            <w:r>
              <w:rPr>
                <w:b w:val="0"/>
                <w:color w:val="000000"/>
                <w:sz w:val="19"/>
              </w:rPr>
              <w:t>Common control catalog with owners, mappings and justified exceptions.</w:t>
            </w:r>
          </w:p>
        </w:tc>
      </w:tr>
      <w:tr>
        <w:trPr>
          <w:cantSplit/>
        </w:trPr>
        <w:tc>
          <w:tcPr>
            <w:tcW w:type="dxa" w:w="1670"/>
            <w:vAlign w:val="center"/>
            <w:tcMar>
              <w:top w:w="95" w:type="dxa"/>
              <w:bottom w:w="95" w:type="dxa"/>
              <w:left w:w="95" w:type="dxa"/>
              <w:right w:w="95" w:type="dxa"/>
            </w:tcMar>
            <w:shd w:fill="FFFFFF"/>
          </w:tcPr>
          <w:p>
            <w:pPr>
              <w:keepNext w:val="0"/>
              <w:spacing w:after="40" w:before="40" w:line="245" w:lineRule="auto"/>
            </w:pPr>
            <w:r>
              <w:rPr>
                <w:b w:val="0"/>
                <w:color w:val="000000"/>
                <w:sz w:val="19"/>
              </w:rPr>
              <w:t>Identity and administrative access</w:t>
            </w:r>
          </w:p>
        </w:tc>
        <w:tc>
          <w:tcPr>
            <w:tcW w:type="dxa" w:w="4406"/>
            <w:vAlign w:val="center"/>
            <w:tcMar>
              <w:top w:w="95" w:type="dxa"/>
              <w:bottom w:w="95" w:type="dxa"/>
              <w:left w:w="95" w:type="dxa"/>
              <w:right w:w="95" w:type="dxa"/>
            </w:tcMar>
            <w:shd w:fill="FFFFFF"/>
          </w:tcPr>
          <w:p>
            <w:pPr>
              <w:keepNext w:val="0"/>
              <w:spacing w:after="40" w:before="40" w:line="245" w:lineRule="auto"/>
            </w:pPr>
            <w:r>
              <w:rPr>
                <w:b w:val="0"/>
                <w:color w:val="000000"/>
                <w:sz w:val="19"/>
              </w:rPr>
              <w:t>Review joiner and leaver processes, privileged access, service identities, approvals and access reviews.</w:t>
            </w:r>
          </w:p>
        </w:tc>
        <w:tc>
          <w:tcPr>
            <w:tcW w:type="dxa" w:w="4061"/>
            <w:vAlign w:val="center"/>
            <w:tcMar>
              <w:top w:w="95" w:type="dxa"/>
              <w:bottom w:w="95" w:type="dxa"/>
              <w:left w:w="95" w:type="dxa"/>
              <w:right w:w="95" w:type="dxa"/>
            </w:tcMar>
            <w:shd w:fill="FFFFFF"/>
          </w:tcPr>
          <w:p>
            <w:pPr>
              <w:keepNext w:val="0"/>
              <w:spacing w:after="40" w:before="40" w:line="245" w:lineRule="auto"/>
            </w:pPr>
            <w:r>
              <w:rPr>
                <w:b w:val="0"/>
                <w:color w:val="000000"/>
                <w:sz w:val="19"/>
              </w:rPr>
              <w:t>Verified account populations, review records and sampled access-event evidence.</w:t>
            </w:r>
          </w:p>
        </w:tc>
      </w:tr>
      <w:tr>
        <w:trPr>
          <w:cantSplit/>
        </w:trPr>
        <w:tc>
          <w:tcPr>
            <w:tcW w:type="dxa" w:w="1670"/>
            <w:vAlign w:val="center"/>
            <w:tcMar>
              <w:top w:w="95" w:type="dxa"/>
              <w:bottom w:w="95" w:type="dxa"/>
              <w:left w:w="95" w:type="dxa"/>
              <w:right w:w="95" w:type="dxa"/>
            </w:tcMar>
            <w:shd w:fill="F1F5F7"/>
          </w:tcPr>
          <w:p>
            <w:pPr>
              <w:keepNext w:val="0"/>
              <w:spacing w:after="40" w:before="40" w:line="245" w:lineRule="auto"/>
            </w:pPr>
            <w:r>
              <w:rPr>
                <w:b w:val="0"/>
                <w:color w:val="000000"/>
                <w:sz w:val="19"/>
              </w:rPr>
              <w:t>Platform and operations</w:t>
            </w:r>
          </w:p>
        </w:tc>
        <w:tc>
          <w:tcPr>
            <w:tcW w:type="dxa" w:w="4406"/>
            <w:vAlign w:val="center"/>
            <w:tcMar>
              <w:top w:w="95" w:type="dxa"/>
              <w:bottom w:w="95" w:type="dxa"/>
              <w:left w:w="95" w:type="dxa"/>
              <w:right w:w="95" w:type="dxa"/>
            </w:tcMar>
            <w:shd w:fill="F1F5F7"/>
          </w:tcPr>
          <w:p>
            <w:pPr>
              <w:keepNext w:val="0"/>
              <w:spacing w:after="40" w:before="40" w:line="245" w:lineRule="auto"/>
            </w:pPr>
            <w:r>
              <w:rPr>
                <w:b w:val="0"/>
                <w:color w:val="000000"/>
                <w:sz w:val="19"/>
              </w:rPr>
              <w:t>Validate isolation, configuration, vulnerability handling, changes, monitoring and response.</w:t>
            </w:r>
          </w:p>
        </w:tc>
        <w:tc>
          <w:tcPr>
            <w:tcW w:type="dxa" w:w="4061"/>
            <w:vAlign w:val="center"/>
            <w:tcMar>
              <w:top w:w="95" w:type="dxa"/>
              <w:bottom w:w="95" w:type="dxa"/>
              <w:left w:w="95" w:type="dxa"/>
              <w:right w:w="95" w:type="dxa"/>
            </w:tcMar>
            <w:shd w:fill="F1F5F7"/>
          </w:tcPr>
          <w:p>
            <w:pPr>
              <w:keepNext w:val="0"/>
              <w:spacing w:after="40" w:before="40" w:line="245" w:lineRule="auto"/>
            </w:pPr>
            <w:r>
              <w:rPr>
                <w:b w:val="0"/>
                <w:color w:val="000000"/>
                <w:sz w:val="19"/>
              </w:rPr>
              <w:t>Engineering backlog, test results, runbooks and traceable operational records.</w:t>
            </w:r>
          </w:p>
        </w:tc>
      </w:tr>
      <w:tr>
        <w:trPr>
          <w:cantSplit/>
        </w:trPr>
        <w:tc>
          <w:tcPr>
            <w:tcW w:type="dxa" w:w="1670"/>
            <w:vAlign w:val="center"/>
            <w:tcMar>
              <w:top w:w="95" w:type="dxa"/>
              <w:bottom w:w="95" w:type="dxa"/>
              <w:left w:w="95" w:type="dxa"/>
              <w:right w:w="95" w:type="dxa"/>
            </w:tcMar>
            <w:shd w:fill="FFFFFF"/>
          </w:tcPr>
          <w:p>
            <w:pPr>
              <w:keepNext w:val="0"/>
              <w:spacing w:after="40" w:before="40" w:line="245" w:lineRule="auto"/>
            </w:pPr>
            <w:r>
              <w:rPr>
                <w:b w:val="0"/>
                <w:color w:val="000000"/>
                <w:sz w:val="19"/>
              </w:rPr>
              <w:t>Data lifecycle and privacy</w:t>
            </w:r>
          </w:p>
        </w:tc>
        <w:tc>
          <w:tcPr>
            <w:tcW w:type="dxa" w:w="4406"/>
            <w:vAlign w:val="center"/>
            <w:tcMar>
              <w:top w:w="95" w:type="dxa"/>
              <w:bottom w:w="95" w:type="dxa"/>
              <w:left w:w="95" w:type="dxa"/>
              <w:right w:w="95" w:type="dxa"/>
            </w:tcMar>
            <w:shd w:fill="FFFFFF"/>
          </w:tcPr>
          <w:p>
            <w:pPr>
              <w:keepNext w:val="0"/>
              <w:spacing w:after="40" w:before="40" w:line="245" w:lineRule="auto"/>
            </w:pPr>
            <w:r>
              <w:rPr>
                <w:b w:val="0"/>
                <w:color w:val="000000"/>
                <w:sz w:val="19"/>
              </w:rPr>
              <w:t>Map location, access, deletion, backup, subprocessors, agreements and customer instructions.</w:t>
            </w:r>
          </w:p>
        </w:tc>
        <w:tc>
          <w:tcPr>
            <w:tcW w:type="dxa" w:w="4061"/>
            <w:vAlign w:val="center"/>
            <w:tcMar>
              <w:top w:w="95" w:type="dxa"/>
              <w:bottom w:w="95" w:type="dxa"/>
              <w:left w:w="95" w:type="dxa"/>
              <w:right w:w="95" w:type="dxa"/>
            </w:tcMar>
            <w:shd w:fill="FFFFFF"/>
          </w:tcPr>
          <w:p>
            <w:pPr>
              <w:keepNext w:val="0"/>
              <w:spacing w:after="40" w:before="40" w:line="245" w:lineRule="auto"/>
            </w:pPr>
            <w:r>
              <w:rPr>
                <w:b w:val="0"/>
                <w:color w:val="000000"/>
                <w:sz w:val="19"/>
              </w:rPr>
              <w:t>Data-flow model, privacy review and tested regional constraints.</w:t>
            </w:r>
          </w:p>
        </w:tc>
      </w:tr>
      <w:tr>
        <w:trPr>
          <w:cantSplit/>
        </w:trPr>
        <w:tc>
          <w:tcPr>
            <w:tcW w:type="dxa" w:w="1670"/>
            <w:vAlign w:val="center"/>
            <w:tcMar>
              <w:top w:w="95" w:type="dxa"/>
              <w:bottom w:w="95" w:type="dxa"/>
              <w:left w:w="95" w:type="dxa"/>
              <w:right w:w="95" w:type="dxa"/>
            </w:tcMar>
            <w:shd w:fill="F1F5F7"/>
          </w:tcPr>
          <w:p>
            <w:pPr>
              <w:keepNext w:val="0"/>
              <w:spacing w:after="40" w:before="40" w:line="245" w:lineRule="auto"/>
            </w:pPr>
            <w:r>
              <w:rPr>
                <w:b w:val="0"/>
                <w:color w:val="000000"/>
                <w:sz w:val="19"/>
              </w:rPr>
              <w:t>Resilience and facilities</w:t>
            </w:r>
          </w:p>
        </w:tc>
        <w:tc>
          <w:tcPr>
            <w:tcW w:type="dxa" w:w="4406"/>
            <w:vAlign w:val="center"/>
            <w:tcMar>
              <w:top w:w="95" w:type="dxa"/>
              <w:bottom w:w="95" w:type="dxa"/>
              <w:left w:w="95" w:type="dxa"/>
              <w:right w:w="95" w:type="dxa"/>
            </w:tcMar>
            <w:shd w:fill="F1F5F7"/>
          </w:tcPr>
          <w:p>
            <w:pPr>
              <w:keepNext w:val="0"/>
              <w:spacing w:after="40" w:before="40" w:line="245" w:lineRule="auto"/>
            </w:pPr>
            <w:r>
              <w:rPr>
                <w:b w:val="0"/>
                <w:color w:val="000000"/>
                <w:sz w:val="19"/>
              </w:rPr>
              <w:t>Establish recovery objectives, run restores, review colocation assurance and physical dependencies.</w:t>
            </w:r>
          </w:p>
        </w:tc>
        <w:tc>
          <w:tcPr>
            <w:tcW w:type="dxa" w:w="4061"/>
            <w:vAlign w:val="center"/>
            <w:tcMar>
              <w:top w:w="95" w:type="dxa"/>
              <w:bottom w:w="95" w:type="dxa"/>
              <w:left w:w="95" w:type="dxa"/>
              <w:right w:w="95" w:type="dxa"/>
            </w:tcMar>
            <w:shd w:fill="F1F5F7"/>
          </w:tcPr>
          <w:p>
            <w:pPr>
              <w:keepNext w:val="0"/>
              <w:spacing w:after="40" w:before="40" w:line="245" w:lineRule="auto"/>
            </w:pPr>
            <w:r>
              <w:rPr>
                <w:b w:val="0"/>
                <w:color w:val="000000"/>
                <w:sz w:val="19"/>
              </w:rPr>
              <w:t>Restore results, continuity exercises and vendor-control reliance analysis.</w:t>
            </w:r>
          </w:p>
        </w:tc>
      </w:tr>
      <w:tr>
        <w:trPr>
          <w:cantSplit/>
        </w:trPr>
        <w:tc>
          <w:tcPr>
            <w:tcW w:type="dxa" w:w="1670"/>
            <w:vAlign w:val="center"/>
            <w:tcMar>
              <w:top w:w="95" w:type="dxa"/>
              <w:bottom w:w="95" w:type="dxa"/>
              <w:left w:w="95" w:type="dxa"/>
              <w:right w:w="95" w:type="dxa"/>
            </w:tcMar>
            <w:shd w:fill="FFFFFF"/>
          </w:tcPr>
          <w:p>
            <w:pPr>
              <w:keepNext w:val="0"/>
              <w:spacing w:after="40" w:before="40" w:line="245" w:lineRule="auto"/>
            </w:pPr>
            <w:r>
              <w:rPr>
                <w:b w:val="0"/>
                <w:color w:val="000000"/>
                <w:sz w:val="19"/>
              </w:rPr>
              <w:t>Evidence and assessment</w:t>
            </w:r>
          </w:p>
        </w:tc>
        <w:tc>
          <w:tcPr>
            <w:tcW w:type="dxa" w:w="4406"/>
            <w:vAlign w:val="center"/>
            <w:tcMar>
              <w:top w:w="95" w:type="dxa"/>
              <w:bottom w:w="95" w:type="dxa"/>
              <w:left w:w="95" w:type="dxa"/>
              <w:right w:w="95" w:type="dxa"/>
            </w:tcMar>
            <w:shd w:fill="FFFFFF"/>
          </w:tcPr>
          <w:p>
            <w:pPr>
              <w:keepNext w:val="0"/>
              <w:spacing w:after="40" w:before="40" w:line="245" w:lineRule="auto"/>
            </w:pPr>
            <w:r>
              <w:rPr>
                <w:b w:val="0"/>
                <w:color w:val="000000"/>
                <w:sz w:val="19"/>
              </w:rPr>
              <w:t>Agree populations, period, collection, review, fieldwork and issue management.</w:t>
            </w:r>
          </w:p>
        </w:tc>
        <w:tc>
          <w:tcPr>
            <w:tcW w:type="dxa" w:w="4061"/>
            <w:vAlign w:val="center"/>
            <w:tcMar>
              <w:top w:w="95" w:type="dxa"/>
              <w:bottom w:w="95" w:type="dxa"/>
              <w:left w:w="95" w:type="dxa"/>
              <w:right w:w="95" w:type="dxa"/>
            </w:tcMar>
            <w:shd w:fill="FFFFFF"/>
          </w:tcPr>
          <w:p>
            <w:pPr>
              <w:keepNext w:val="0"/>
              <w:spacing w:after="40" w:before="40" w:line="245" w:lineRule="auto"/>
            </w:pPr>
            <w:r>
              <w:rPr>
                <w:b w:val="0"/>
                <w:color w:val="000000"/>
                <w:sz w:val="19"/>
              </w:rPr>
              <w:t>Evidence index, accepted submissions, readiness decision and findings log.</w:t>
            </w:r>
          </w:p>
        </w:tc>
      </w:tr>
      <w:tr>
        <w:trPr>
          <w:cantSplit/>
        </w:trPr>
        <w:tc>
          <w:tcPr>
            <w:tcW w:type="dxa" w:w="1670"/>
            <w:vAlign w:val="center"/>
            <w:tcMar>
              <w:top w:w="95" w:type="dxa"/>
              <w:bottom w:w="95" w:type="dxa"/>
              <w:left w:w="95" w:type="dxa"/>
              <w:right w:w="95" w:type="dxa"/>
            </w:tcMar>
            <w:shd w:fill="F1F5F7"/>
          </w:tcPr>
          <w:p>
            <w:pPr>
              <w:keepNext w:val="0"/>
              <w:spacing w:after="40" w:before="40" w:line="245" w:lineRule="auto"/>
            </w:pPr>
            <w:r>
              <w:rPr>
                <w:b w:val="0"/>
                <w:color w:val="000000"/>
                <w:sz w:val="19"/>
              </w:rPr>
              <w:t>Customer assurance and maintenance</w:t>
            </w:r>
          </w:p>
        </w:tc>
        <w:tc>
          <w:tcPr>
            <w:tcW w:type="dxa" w:w="4406"/>
            <w:vAlign w:val="center"/>
            <w:tcMar>
              <w:top w:w="95" w:type="dxa"/>
              <w:bottom w:w="95" w:type="dxa"/>
              <w:left w:w="95" w:type="dxa"/>
              <w:right w:w="95" w:type="dxa"/>
            </w:tcMar>
            <w:shd w:fill="F1F5F7"/>
          </w:tcPr>
          <w:p>
            <w:pPr>
              <w:keepNext w:val="0"/>
              <w:spacing w:after="40" w:before="40" w:line="245" w:lineRule="auto"/>
            </w:pPr>
            <w:r>
              <w:rPr>
                <w:b w:val="0"/>
                <w:color w:val="000000"/>
                <w:sz w:val="19"/>
              </w:rPr>
              <w:t>Align claims, responsibility guidance, report distribution, renewal and new-service checks.</w:t>
            </w:r>
          </w:p>
        </w:tc>
        <w:tc>
          <w:tcPr>
            <w:tcW w:type="dxa" w:w="4061"/>
            <w:vAlign w:val="center"/>
            <w:tcMar>
              <w:top w:w="95" w:type="dxa"/>
              <w:bottom w:w="95" w:type="dxa"/>
              <w:left w:w="95" w:type="dxa"/>
              <w:right w:w="95" w:type="dxa"/>
            </w:tcMar>
            <w:shd w:fill="F1F5F7"/>
          </w:tcPr>
          <w:p>
            <w:pPr>
              <w:keepNext w:val="0"/>
              <w:spacing w:after="40" w:before="40" w:line="245" w:lineRule="auto"/>
            </w:pPr>
            <w:r>
              <w:rPr>
                <w:b w:val="0"/>
                <w:color w:val="000000"/>
                <w:sz w:val="19"/>
              </w:rPr>
              <w:t>Approved customer material, assurance calendar and service-change process.</w:t>
            </w:r>
          </w:p>
        </w:tc>
      </w:tr>
    </w:tbl>
    <w:p>
      <w:pPr>
        <w:spacing w:after="0"/>
      </w:pPr>
      <w:r/>
    </w:p>
    <w:p>
      <w:pPr>
        <w:pStyle w:val="Heading2"/>
      </w:pPr>
      <w:r>
        <w:t>Resource planning</w:t>
      </w:r>
    </w:p>
    <w:p>
      <w:r>
        <w:t>Ask each engineering leader to estimate effort and reserve capacity in the existing planning cycle. Identify named primary and backup owners for critical controls. Budget separately for engineering work, GRC review, evidence automation, assessors, testing and operational disruption. Do not estimate the program from audit fees alone.</w:t>
      </w:r>
    </w:p>
    <w:p>
      <w:pPr>
        <w:pStyle w:val="Heading2"/>
      </w:pPr>
      <w:r>
        <w:t>Reduce repeated work without losing rigor</w:t>
      </w:r>
    </w:p>
    <w:p>
      <w:r>
        <w:t>Pilot the control and evidence model on a representative service with enough shared dependencies to expose integration problems. Reuse validated mechanisms for later services, with a delta assessment for each new boundary. A small pilot proves the method; it does not establish coverage for the entire platform.</w:t>
      </w:r>
    </w:p>
    <w:p>
      <w:r>
        <w:t>Keep certification expansion and corporate integration decisions separate where necessary. A shared governance process can support distinct reports when services have materially different boundaries or customer needs.</w:t>
      </w:r>
    </w:p>
    <w:p>
      <w:pPr>
        <w:pStyle w:val="Heading1"/>
        <w:pageBreakBefore/>
      </w:pPr>
      <w:r>
        <w:t>9  Evidence that an assessor can use</w:t>
      </w:r>
    </w:p>
    <w:p>
      <w:r>
        <w:t>Build traceability from obligation to control, implementation, test, evidence and assessment outcome. Store evidence securely with access restrictions and retention rules. An automatically collected artifact still requires validation of completeness, accuracy and relevance.</w:t>
      </w:r>
    </w:p>
    <w:p>
      <w:pPr>
        <w:pStyle w:val="Heading2"/>
      </w:pPr>
      <w:r>
        <w:t>Minimum evidence record</w:t>
      </w:r>
    </w:p>
    <w:tbl>
      <w:tblPr>
        <w:tblW w:type="auto" w:w="0"/>
        <w:jc w:val="center"/>
        <w:tblLayout w:type="fixed"/>
        <w:tblLook w:firstColumn="1" w:firstRow="1" w:lastColumn="0" w:lastRow="0" w:noHBand="0" w:noVBand="1" w:val="04A0"/>
        <w:tblBorders>
          <w:top w:val="single" w:sz="5" w:color="D9D9D9"/>
          <w:left w:val="single" w:sz="5" w:color="D9D9D9"/>
          <w:bottom w:val="single" w:sz="5" w:color="D9D9D9"/>
          <w:right w:val="single" w:sz="5" w:color="D9D9D9"/>
          <w:insideH w:val="single" w:sz="5" w:color="D9D9D9"/>
          <w:insideV w:val="single" w:sz="5" w:color="D9D9D9"/>
        </w:tblBorders>
      </w:tblPr>
      <w:tblGrid>
        <w:gridCol w:w="2160"/>
        <w:gridCol w:w="7978"/>
      </w:tblGrid>
      <w:tr>
        <w:trPr>
          <w:cantSplit/>
          <w:tblHeader/>
        </w:trPr>
        <w:tc>
          <w:tcPr>
            <w:tcW w:type="dxa" w:w="2160"/>
            <w:vAlign w:val="center"/>
            <w:tcMar>
              <w:top w:w="95" w:type="dxa"/>
              <w:bottom w:w="95" w:type="dxa"/>
              <w:left w:w="95" w:type="dxa"/>
              <w:right w:w="95" w:type="dxa"/>
            </w:tcMar>
            <w:shd w:fill="17364D"/>
          </w:tcPr>
          <w:p>
            <w:pPr>
              <w:keepNext w:val="0"/>
              <w:spacing w:after="40" w:before="40" w:line="245" w:lineRule="auto"/>
            </w:pPr>
            <w:r>
              <w:rPr>
                <w:b/>
                <w:color w:val="FFFFFF"/>
                <w:sz w:val="20"/>
              </w:rPr>
              <w:t>Field group</w:t>
            </w:r>
          </w:p>
        </w:tc>
        <w:tc>
          <w:tcPr>
            <w:tcW w:type="dxa" w:w="7978"/>
            <w:vAlign w:val="center"/>
            <w:tcMar>
              <w:top w:w="95" w:type="dxa"/>
              <w:bottom w:w="95" w:type="dxa"/>
              <w:left w:w="95" w:type="dxa"/>
              <w:right w:w="95" w:type="dxa"/>
            </w:tcMar>
            <w:shd w:fill="17364D"/>
          </w:tcPr>
          <w:p>
            <w:pPr>
              <w:keepNext w:val="0"/>
              <w:spacing w:after="40" w:before="40" w:line="245" w:lineRule="auto"/>
            </w:pPr>
            <w:r>
              <w:rPr>
                <w:b/>
                <w:color w:val="FFFFFF"/>
                <w:sz w:val="20"/>
              </w:rPr>
              <w:t>What to record</w:t>
            </w:r>
          </w:p>
        </w:tc>
      </w:tr>
      <w:tr>
        <w:trPr>
          <w:cantSplit/>
        </w:trPr>
        <w:tc>
          <w:tcPr>
            <w:tcW w:type="dxa" w:w="2160"/>
            <w:vAlign w:val="center"/>
            <w:tcMar>
              <w:top w:w="95" w:type="dxa"/>
              <w:bottom w:w="95" w:type="dxa"/>
              <w:left w:w="95" w:type="dxa"/>
              <w:right w:w="95" w:type="dxa"/>
            </w:tcMar>
            <w:shd w:fill="FFFFFF"/>
          </w:tcPr>
          <w:p>
            <w:pPr>
              <w:keepNext w:val="0"/>
              <w:spacing w:after="40" w:before="40" w:line="245" w:lineRule="auto"/>
            </w:pPr>
            <w:r>
              <w:rPr>
                <w:b w:val="0"/>
                <w:color w:val="000000"/>
                <w:sz w:val="20"/>
              </w:rPr>
              <w:t>Identity and scope</w:t>
            </w:r>
          </w:p>
        </w:tc>
        <w:tc>
          <w:tcPr>
            <w:tcW w:type="dxa" w:w="7978"/>
            <w:vAlign w:val="center"/>
            <w:tcMar>
              <w:top w:w="95" w:type="dxa"/>
              <w:bottom w:w="95" w:type="dxa"/>
              <w:left w:w="95" w:type="dxa"/>
              <w:right w:w="95" w:type="dxa"/>
            </w:tcMar>
            <w:shd w:fill="FFFFFF"/>
          </w:tcPr>
          <w:p>
            <w:pPr>
              <w:keepNext w:val="0"/>
              <w:spacing w:after="40" w:before="40" w:line="245" w:lineRule="auto"/>
            </w:pPr>
            <w:r>
              <w:rPr>
                <w:b w:val="0"/>
                <w:color w:val="000000"/>
                <w:sz w:val="20"/>
              </w:rPr>
              <w:t>Control ID, framework mappings, service, region, entity, environment and version.</w:t>
            </w:r>
          </w:p>
        </w:tc>
      </w:tr>
      <w:tr>
        <w:trPr>
          <w:cantSplit/>
        </w:trPr>
        <w:tc>
          <w:tcPr>
            <w:tcW w:type="dxa" w:w="2160"/>
            <w:vAlign w:val="center"/>
            <w:tcMar>
              <w:top w:w="95" w:type="dxa"/>
              <w:bottom w:w="95" w:type="dxa"/>
              <w:left w:w="95" w:type="dxa"/>
              <w:right w:w="95" w:type="dxa"/>
            </w:tcMar>
            <w:shd w:fill="F1F5F7"/>
          </w:tcPr>
          <w:p>
            <w:pPr>
              <w:keepNext w:val="0"/>
              <w:spacing w:after="40" w:before="40" w:line="245" w:lineRule="auto"/>
            </w:pPr>
            <w:r>
              <w:rPr>
                <w:b w:val="0"/>
                <w:color w:val="000000"/>
                <w:sz w:val="20"/>
              </w:rPr>
              <w:t>Accountability</w:t>
            </w:r>
          </w:p>
        </w:tc>
        <w:tc>
          <w:tcPr>
            <w:tcW w:type="dxa" w:w="7978"/>
            <w:vAlign w:val="center"/>
            <w:tcMar>
              <w:top w:w="95" w:type="dxa"/>
              <w:bottom w:w="95" w:type="dxa"/>
              <w:left w:w="95" w:type="dxa"/>
              <w:right w:w="95" w:type="dxa"/>
            </w:tcMar>
            <w:shd w:fill="F1F5F7"/>
          </w:tcPr>
          <w:p>
            <w:pPr>
              <w:keepNext w:val="0"/>
              <w:spacing w:after="40" w:before="40" w:line="245" w:lineRule="auto"/>
            </w:pPr>
            <w:r>
              <w:rPr>
                <w:b w:val="0"/>
                <w:color w:val="000000"/>
                <w:sz w:val="20"/>
              </w:rPr>
              <w:t>Control owner, evidence producer, reviewer and designated backup.</w:t>
            </w:r>
          </w:p>
        </w:tc>
      </w:tr>
      <w:tr>
        <w:trPr>
          <w:cantSplit/>
        </w:trPr>
        <w:tc>
          <w:tcPr>
            <w:tcW w:type="dxa" w:w="2160"/>
            <w:vAlign w:val="center"/>
            <w:tcMar>
              <w:top w:w="95" w:type="dxa"/>
              <w:bottom w:w="95" w:type="dxa"/>
              <w:left w:w="95" w:type="dxa"/>
              <w:right w:w="95" w:type="dxa"/>
            </w:tcMar>
            <w:shd w:fill="FFFFFF"/>
          </w:tcPr>
          <w:p>
            <w:pPr>
              <w:keepNext w:val="0"/>
              <w:spacing w:after="40" w:before="40" w:line="245" w:lineRule="auto"/>
            </w:pPr>
            <w:r>
              <w:rPr>
                <w:b w:val="0"/>
                <w:color w:val="000000"/>
                <w:sz w:val="20"/>
              </w:rPr>
              <w:t>Test definition</w:t>
            </w:r>
          </w:p>
        </w:tc>
        <w:tc>
          <w:tcPr>
            <w:tcW w:type="dxa" w:w="7978"/>
            <w:vAlign w:val="center"/>
            <w:tcMar>
              <w:top w:w="95" w:type="dxa"/>
              <w:bottom w:w="95" w:type="dxa"/>
              <w:left w:w="95" w:type="dxa"/>
              <w:right w:w="95" w:type="dxa"/>
            </w:tcMar>
            <w:shd w:fill="FFFFFF"/>
          </w:tcPr>
          <w:p>
            <w:pPr>
              <w:keepNext w:val="0"/>
              <w:spacing w:after="40" w:before="40" w:line="245" w:lineRule="auto"/>
            </w:pPr>
            <w:r>
              <w:rPr>
                <w:b w:val="0"/>
                <w:color w:val="000000"/>
                <w:sz w:val="20"/>
              </w:rPr>
              <w:t>Objective, method, frequency, expected population and acceptance criteria.</w:t>
            </w:r>
          </w:p>
        </w:tc>
      </w:tr>
      <w:tr>
        <w:trPr>
          <w:cantSplit/>
        </w:trPr>
        <w:tc>
          <w:tcPr>
            <w:tcW w:type="dxa" w:w="2160"/>
            <w:vAlign w:val="center"/>
            <w:tcMar>
              <w:top w:w="95" w:type="dxa"/>
              <w:bottom w:w="95" w:type="dxa"/>
              <w:left w:w="95" w:type="dxa"/>
              <w:right w:w="95" w:type="dxa"/>
            </w:tcMar>
            <w:shd w:fill="F1F5F7"/>
          </w:tcPr>
          <w:p>
            <w:pPr>
              <w:keepNext w:val="0"/>
              <w:spacing w:after="40" w:before="40" w:line="245" w:lineRule="auto"/>
            </w:pPr>
            <w:r>
              <w:rPr>
                <w:b w:val="0"/>
                <w:color w:val="000000"/>
                <w:sz w:val="20"/>
              </w:rPr>
              <w:t>Provenance and timing</w:t>
            </w:r>
          </w:p>
        </w:tc>
        <w:tc>
          <w:tcPr>
            <w:tcW w:type="dxa" w:w="7978"/>
            <w:vAlign w:val="center"/>
            <w:tcMar>
              <w:top w:w="95" w:type="dxa"/>
              <w:bottom w:w="95" w:type="dxa"/>
              <w:left w:w="95" w:type="dxa"/>
              <w:right w:w="95" w:type="dxa"/>
            </w:tcMar>
            <w:shd w:fill="F1F5F7"/>
          </w:tcPr>
          <w:p>
            <w:pPr>
              <w:keepNext w:val="0"/>
              <w:spacing w:after="40" w:before="40" w:line="245" w:lineRule="auto"/>
            </w:pPr>
            <w:r>
              <w:rPr>
                <w:b w:val="0"/>
                <w:color w:val="000000"/>
                <w:sz w:val="20"/>
              </w:rPr>
              <w:t>Source system, covered dates, collection timestamp, completeness checks and integrity metadata.</w:t>
            </w:r>
          </w:p>
        </w:tc>
      </w:tr>
      <w:tr>
        <w:trPr>
          <w:cantSplit/>
        </w:trPr>
        <w:tc>
          <w:tcPr>
            <w:tcW w:type="dxa" w:w="2160"/>
            <w:vAlign w:val="center"/>
            <w:tcMar>
              <w:top w:w="95" w:type="dxa"/>
              <w:bottom w:w="95" w:type="dxa"/>
              <w:left w:w="95" w:type="dxa"/>
              <w:right w:w="95" w:type="dxa"/>
            </w:tcMar>
            <w:shd w:fill="FFFFFF"/>
          </w:tcPr>
          <w:p>
            <w:pPr>
              <w:keepNext w:val="0"/>
              <w:spacing w:after="40" w:before="40" w:line="245" w:lineRule="auto"/>
            </w:pPr>
            <w:r>
              <w:rPr>
                <w:b w:val="0"/>
                <w:color w:val="000000"/>
                <w:sz w:val="20"/>
              </w:rPr>
              <w:t>Result and disposition</w:t>
            </w:r>
          </w:p>
        </w:tc>
        <w:tc>
          <w:tcPr>
            <w:tcW w:type="dxa" w:w="7978"/>
            <w:vAlign w:val="center"/>
            <w:tcMar>
              <w:top w:w="95" w:type="dxa"/>
              <w:bottom w:w="95" w:type="dxa"/>
              <w:left w:w="95" w:type="dxa"/>
              <w:right w:w="95" w:type="dxa"/>
            </w:tcMar>
            <w:shd w:fill="FFFFFF"/>
          </w:tcPr>
          <w:p>
            <w:pPr>
              <w:keepNext w:val="0"/>
              <w:spacing w:after="40" w:before="40" w:line="245" w:lineRule="auto"/>
            </w:pPr>
            <w:r>
              <w:rPr>
                <w:b w:val="0"/>
                <w:color w:val="000000"/>
                <w:sz w:val="20"/>
              </w:rPr>
              <w:t>Pass or exception, linked evidence, reviewer decision, remediation ticket and retest.</w:t>
            </w:r>
          </w:p>
        </w:tc>
      </w:tr>
    </w:tbl>
    <w:p>
      <w:pPr>
        <w:spacing w:after="0"/>
      </w:pPr>
      <w:r/>
    </w:p>
    <w:p>
      <w:pPr>
        <w:pStyle w:val="Heading2"/>
      </w:pPr>
      <w:r>
        <w:t>Worked example of a recurring access control</w:t>
      </w:r>
    </w:p>
    <w:p>
      <w:r>
        <w:t>Proposed control: privileged cloud-platform access is approved, attributable, limited to job need and reviewed on a defined schedule. The GRC lead maps it to the relevant criteria; the IAM and platform owners agree how it works for human and service identities.</w:t>
      </w:r>
    </w:p>
    <w:p>
      <w:r>
        <w:t>Implementation and dependencies: reconcile the identity source with the full set of administrative accounts, document break-glass access, record approvals and revocations, and designate reviewers who can assess business need. Identify any acquired-platform accounts outside the central identity process.</w:t>
      </w:r>
    </w:p>
    <w:p>
      <w:r>
        <w:t>Evidence: time-bounded account exports, population reconciliation, approval and termination records, completed reviews, exception tickets and verified access removal. The test must include the defined population rather than a convenient screenshot or a single successful example.</w:t>
      </w:r>
    </w:p>
    <w:p>
      <w:r>
        <w:t>Acceptance: the population is demonstrably complete; reviewers made substantive decisions on time; removals completed within policy; exceptions have an approved disposition and were retested. Evidence is traceable to the period the assessor will examine.</w:t>
      </w:r>
    </w:p>
    <w:p>
      <w:pPr>
        <w:pStyle w:val="Heading2"/>
      </w:pPr>
      <w:r>
        <w:t>Useful automation</w:t>
      </w:r>
    </w:p>
    <w:p>
      <w:r>
        <w:t>Use existing approved systems to collect identity exports, changes, vulnerability records and configuration states. Reconcile counts to the source systems, flag collection failures and track evidence age. Begin with the recurring controls that consume the most effort. Keep a documented manual fallback until automation is dependable.</w:t>
      </w:r>
    </w:p>
    <w:p>
      <w:pPr>
        <w:pStyle w:val="Heading2"/>
      </w:pPr>
      <w:r>
        <w:t>Do not overstate reuse</w:t>
      </w:r>
    </w:p>
    <w:p>
      <w:r>
        <w:t>One access review may support SOC 2, ISO and C5, but only when the population, control wording, period and test requirements align. Record the mapping and any additional procedure needed. Management statements covering an interim period do not substitute for an independent Type 2 examination of that period.</w:t>
      </w:r>
    </w:p>
    <w:p>
      <w:pPr>
        <w:pStyle w:val="Heading1"/>
        <w:pageBreakBefore/>
      </w:pPr>
      <w:r>
        <w:t>10  Turning a regional promise into engineering work</w:t>
      </w:r>
    </w:p>
    <w:p>
      <w:r>
        <w:t>Hypothetical scenario: a customer commitment requires selected workload data and backups to stay in approved jurisdictions, with defined restrictions on administrative access. This is an example of translating a requirement, not a claim about Akamai functionality or a universal GDPR rule.</w:t>
      </w:r>
    </w:p>
    <w:p>
      <w:pPr>
        <w:pStyle w:val="Heading2"/>
      </w:pPr>
      <w:r>
        <w:t>Define the obligation precisely</w:t>
      </w:r>
    </w:p>
    <w:p>
      <w:r>
        <w:t>Legal and privacy leads identify the applicable contract and law. Product identifies the customer use case. Architecture defines which data is covered: primary content, replicas, snapshots, logs, support attachments and metadata. Specify whether each requirement concerns storage, processing, access, disclosure or all four.</w:t>
      </w:r>
    </w:p>
    <w:tbl>
      <w:tblPr>
        <w:tblW w:type="auto" w:w="0"/>
        <w:jc w:val="center"/>
        <w:tblLayout w:type="fixed"/>
        <w:tblLook w:firstColumn="1" w:firstRow="1" w:lastColumn="0" w:lastRow="0" w:noHBand="0" w:noVBand="1" w:val="04A0"/>
        <w:tblBorders>
          <w:top w:val="single" w:sz="5" w:color="D9D9D9"/>
          <w:left w:val="single" w:sz="5" w:color="D9D9D9"/>
          <w:bottom w:val="single" w:sz="5" w:color="D9D9D9"/>
          <w:right w:val="single" w:sz="5" w:color="D9D9D9"/>
          <w:insideH w:val="single" w:sz="5" w:color="D9D9D9"/>
          <w:insideV w:val="single" w:sz="5" w:color="D9D9D9"/>
        </w:tblBorders>
      </w:tblPr>
      <w:tblGrid>
        <w:gridCol w:w="2160"/>
        <w:gridCol w:w="4378"/>
        <w:gridCol w:w="3600"/>
      </w:tblGrid>
      <w:tr>
        <w:trPr>
          <w:cantSplit/>
          <w:tblHeader/>
        </w:trPr>
        <w:tc>
          <w:tcPr>
            <w:tcW w:type="dxa" w:w="2160"/>
            <w:vAlign w:val="center"/>
            <w:tcMar>
              <w:top w:w="95" w:type="dxa"/>
              <w:bottom w:w="95" w:type="dxa"/>
              <w:left w:w="95" w:type="dxa"/>
              <w:right w:w="95" w:type="dxa"/>
            </w:tcMar>
            <w:shd w:fill="17364D"/>
          </w:tcPr>
          <w:p>
            <w:pPr>
              <w:keepNext w:val="0"/>
              <w:spacing w:after="40" w:before="40" w:line="245" w:lineRule="auto"/>
            </w:pPr>
            <w:r>
              <w:rPr>
                <w:b/>
                <w:color w:val="FFFFFF"/>
                <w:sz w:val="19"/>
              </w:rPr>
              <w:t>Requirement question</w:t>
            </w:r>
          </w:p>
        </w:tc>
        <w:tc>
          <w:tcPr>
            <w:tcW w:type="dxa" w:w="4378"/>
            <w:vAlign w:val="center"/>
            <w:tcMar>
              <w:top w:w="95" w:type="dxa"/>
              <w:bottom w:w="95" w:type="dxa"/>
              <w:left w:w="95" w:type="dxa"/>
              <w:right w:w="95" w:type="dxa"/>
            </w:tcMar>
            <w:shd w:fill="17364D"/>
          </w:tcPr>
          <w:p>
            <w:pPr>
              <w:keepNext w:val="0"/>
              <w:spacing w:after="40" w:before="40" w:line="245" w:lineRule="auto"/>
            </w:pPr>
            <w:r>
              <w:rPr>
                <w:b/>
                <w:color w:val="FFFFFF"/>
                <w:sz w:val="19"/>
              </w:rPr>
              <w:t>Engineering acceptance test</w:t>
            </w:r>
          </w:p>
        </w:tc>
        <w:tc>
          <w:tcPr>
            <w:tcW w:type="dxa" w:w="3600"/>
            <w:vAlign w:val="center"/>
            <w:tcMar>
              <w:top w:w="95" w:type="dxa"/>
              <w:bottom w:w="95" w:type="dxa"/>
              <w:left w:w="95" w:type="dxa"/>
              <w:right w:w="95" w:type="dxa"/>
            </w:tcMar>
            <w:shd w:fill="17364D"/>
          </w:tcPr>
          <w:p>
            <w:pPr>
              <w:keepNext w:val="0"/>
              <w:spacing w:after="40" w:before="40" w:line="245" w:lineRule="auto"/>
            </w:pPr>
            <w:r>
              <w:rPr>
                <w:b/>
                <w:color w:val="FFFFFF"/>
                <w:sz w:val="19"/>
              </w:rPr>
              <w:t>Evidence</w:t>
            </w:r>
          </w:p>
        </w:tc>
      </w:tr>
      <w:tr>
        <w:trPr>
          <w:cantSplit/>
        </w:trPr>
        <w:tc>
          <w:tcPr>
            <w:tcW w:type="dxa" w:w="2160"/>
            <w:vAlign w:val="center"/>
            <w:tcMar>
              <w:top w:w="95" w:type="dxa"/>
              <w:bottom w:w="95" w:type="dxa"/>
              <w:left w:w="95" w:type="dxa"/>
              <w:right w:w="95" w:type="dxa"/>
            </w:tcMar>
            <w:shd w:fill="FFFFFF"/>
          </w:tcPr>
          <w:p>
            <w:pPr>
              <w:keepNext w:val="0"/>
              <w:spacing w:after="40" w:before="40" w:line="245" w:lineRule="auto"/>
            </w:pPr>
            <w:r>
              <w:rPr>
                <w:b w:val="0"/>
                <w:color w:val="000000"/>
                <w:sz w:val="19"/>
              </w:rPr>
              <w:t>Where may workloads and copies exist?</w:t>
            </w:r>
          </w:p>
        </w:tc>
        <w:tc>
          <w:tcPr>
            <w:tcW w:type="dxa" w:w="4378"/>
            <w:vAlign w:val="center"/>
            <w:tcMar>
              <w:top w:w="95" w:type="dxa"/>
              <w:bottom w:w="95" w:type="dxa"/>
              <w:left w:w="95" w:type="dxa"/>
              <w:right w:w="95" w:type="dxa"/>
            </w:tcMar>
            <w:shd w:fill="FFFFFF"/>
          </w:tcPr>
          <w:p>
            <w:pPr>
              <w:keepNext w:val="0"/>
              <w:spacing w:after="40" w:before="40" w:line="245" w:lineRule="auto"/>
            </w:pPr>
            <w:r>
              <w:rPr>
                <w:b w:val="0"/>
                <w:color w:val="000000"/>
                <w:sz w:val="19"/>
              </w:rPr>
              <w:t>Attempt to provision, replicate and restore outside the allowed boundary; verify policy prevents prohibited actions.</w:t>
            </w:r>
          </w:p>
        </w:tc>
        <w:tc>
          <w:tcPr>
            <w:tcW w:type="dxa" w:w="3600"/>
            <w:vAlign w:val="center"/>
            <w:tcMar>
              <w:top w:w="95" w:type="dxa"/>
              <w:bottom w:w="95" w:type="dxa"/>
              <w:left w:w="95" w:type="dxa"/>
              <w:right w:w="95" w:type="dxa"/>
            </w:tcMar>
            <w:shd w:fill="FFFFFF"/>
          </w:tcPr>
          <w:p>
            <w:pPr>
              <w:keepNext w:val="0"/>
              <w:spacing w:after="40" w:before="40" w:line="245" w:lineRule="auto"/>
            </w:pPr>
            <w:r>
              <w:rPr>
                <w:b w:val="0"/>
                <w:color w:val="000000"/>
                <w:sz w:val="19"/>
              </w:rPr>
              <w:t>Policy version, region inventory and successful negative-test results.</w:t>
            </w:r>
          </w:p>
        </w:tc>
      </w:tr>
      <w:tr>
        <w:trPr>
          <w:cantSplit/>
        </w:trPr>
        <w:tc>
          <w:tcPr>
            <w:tcW w:type="dxa" w:w="2160"/>
            <w:vAlign w:val="center"/>
            <w:tcMar>
              <w:top w:w="95" w:type="dxa"/>
              <w:bottom w:w="95" w:type="dxa"/>
              <w:left w:w="95" w:type="dxa"/>
              <w:right w:w="95" w:type="dxa"/>
            </w:tcMar>
            <w:shd w:fill="F1F5F7"/>
          </w:tcPr>
          <w:p>
            <w:pPr>
              <w:keepNext w:val="0"/>
              <w:spacing w:after="40" w:before="40" w:line="245" w:lineRule="auto"/>
            </w:pPr>
            <w:r>
              <w:rPr>
                <w:b w:val="0"/>
                <w:color w:val="000000"/>
                <w:sz w:val="19"/>
              </w:rPr>
              <w:t>Who may administer the service?</w:t>
            </w:r>
          </w:p>
        </w:tc>
        <w:tc>
          <w:tcPr>
            <w:tcW w:type="dxa" w:w="4378"/>
            <w:vAlign w:val="center"/>
            <w:tcMar>
              <w:top w:w="95" w:type="dxa"/>
              <w:bottom w:w="95" w:type="dxa"/>
              <w:left w:w="95" w:type="dxa"/>
              <w:right w:w="95" w:type="dxa"/>
            </w:tcMar>
            <w:shd w:fill="F1F5F7"/>
          </w:tcPr>
          <w:p>
            <w:pPr>
              <w:keepNext w:val="0"/>
              <w:spacing w:after="40" w:before="40" w:line="245" w:lineRule="auto"/>
            </w:pPr>
            <w:r>
              <w:rPr>
                <w:b w:val="0"/>
                <w:color w:val="000000"/>
                <w:sz w:val="19"/>
              </w:rPr>
              <w:t>Verify approved access path, identity restrictions, time limits, escalation and break-glass behavior.</w:t>
            </w:r>
          </w:p>
        </w:tc>
        <w:tc>
          <w:tcPr>
            <w:tcW w:type="dxa" w:w="3600"/>
            <w:vAlign w:val="center"/>
            <w:tcMar>
              <w:top w:w="95" w:type="dxa"/>
              <w:bottom w:w="95" w:type="dxa"/>
              <w:left w:w="95" w:type="dxa"/>
              <w:right w:w="95" w:type="dxa"/>
            </w:tcMar>
            <w:shd w:fill="F1F5F7"/>
          </w:tcPr>
          <w:p>
            <w:pPr>
              <w:keepNext w:val="0"/>
              <w:spacing w:after="40" w:before="40" w:line="245" w:lineRule="auto"/>
            </w:pPr>
            <w:r>
              <w:rPr>
                <w:b w:val="0"/>
                <w:color w:val="000000"/>
                <w:sz w:val="19"/>
              </w:rPr>
              <w:t>Access configuration, approvals, event records and review results.</w:t>
            </w:r>
          </w:p>
        </w:tc>
      </w:tr>
      <w:tr>
        <w:trPr>
          <w:cantSplit/>
        </w:trPr>
        <w:tc>
          <w:tcPr>
            <w:tcW w:type="dxa" w:w="2160"/>
            <w:vAlign w:val="center"/>
            <w:tcMar>
              <w:top w:w="95" w:type="dxa"/>
              <w:bottom w:w="95" w:type="dxa"/>
              <w:left w:w="95" w:type="dxa"/>
              <w:right w:w="95" w:type="dxa"/>
            </w:tcMar>
            <w:shd w:fill="FFFFFF"/>
          </w:tcPr>
          <w:p>
            <w:pPr>
              <w:keepNext w:val="0"/>
              <w:spacing w:after="40" w:before="40" w:line="245" w:lineRule="auto"/>
            </w:pPr>
            <w:r>
              <w:rPr>
                <w:b w:val="0"/>
                <w:color w:val="000000"/>
                <w:sz w:val="19"/>
              </w:rPr>
              <w:t>What happens in an outage?</w:t>
            </w:r>
          </w:p>
        </w:tc>
        <w:tc>
          <w:tcPr>
            <w:tcW w:type="dxa" w:w="4378"/>
            <w:vAlign w:val="center"/>
            <w:tcMar>
              <w:top w:w="95" w:type="dxa"/>
              <w:bottom w:w="95" w:type="dxa"/>
              <w:left w:w="95" w:type="dxa"/>
              <w:right w:w="95" w:type="dxa"/>
            </w:tcMar>
            <w:shd w:fill="FFFFFF"/>
          </w:tcPr>
          <w:p>
            <w:pPr>
              <w:keepNext w:val="0"/>
              <w:spacing w:after="40" w:before="40" w:line="245" w:lineRule="auto"/>
            </w:pPr>
            <w:r>
              <w:rPr>
                <w:b w:val="0"/>
                <w:color w:val="000000"/>
                <w:sz w:val="19"/>
              </w:rPr>
              <w:t>Run a recovery exercise that meets the agreed objectives without violating location constraints.</w:t>
            </w:r>
          </w:p>
        </w:tc>
        <w:tc>
          <w:tcPr>
            <w:tcW w:type="dxa" w:w="3600"/>
            <w:vAlign w:val="center"/>
            <w:tcMar>
              <w:top w:w="95" w:type="dxa"/>
              <w:bottom w:w="95" w:type="dxa"/>
              <w:left w:w="95" w:type="dxa"/>
              <w:right w:w="95" w:type="dxa"/>
            </w:tcMar>
            <w:shd w:fill="FFFFFF"/>
          </w:tcPr>
          <w:p>
            <w:pPr>
              <w:keepNext w:val="0"/>
              <w:spacing w:after="40" w:before="40" w:line="245" w:lineRule="auto"/>
            </w:pPr>
            <w:r>
              <w:rPr>
                <w:b w:val="0"/>
                <w:color w:val="000000"/>
                <w:sz w:val="19"/>
              </w:rPr>
              <w:t>Exercise record, actual restore destination and remediation decisions.</w:t>
            </w:r>
          </w:p>
        </w:tc>
      </w:tr>
      <w:tr>
        <w:trPr>
          <w:cantSplit/>
        </w:trPr>
        <w:tc>
          <w:tcPr>
            <w:tcW w:type="dxa" w:w="2160"/>
            <w:vAlign w:val="center"/>
            <w:tcMar>
              <w:top w:w="95" w:type="dxa"/>
              <w:bottom w:w="95" w:type="dxa"/>
              <w:left w:w="95" w:type="dxa"/>
              <w:right w:w="95" w:type="dxa"/>
            </w:tcMar>
            <w:shd w:fill="F1F5F7"/>
          </w:tcPr>
          <w:p>
            <w:pPr>
              <w:keepNext w:val="0"/>
              <w:spacing w:after="40" w:before="40" w:line="245" w:lineRule="auto"/>
            </w:pPr>
            <w:r>
              <w:rPr>
                <w:b w:val="0"/>
                <w:color w:val="000000"/>
                <w:sz w:val="19"/>
              </w:rPr>
              <w:t>What leaves through support and telemetry?</w:t>
            </w:r>
          </w:p>
        </w:tc>
        <w:tc>
          <w:tcPr>
            <w:tcW w:type="dxa" w:w="4378"/>
            <w:vAlign w:val="center"/>
            <w:tcMar>
              <w:top w:w="95" w:type="dxa"/>
              <w:bottom w:w="95" w:type="dxa"/>
              <w:left w:w="95" w:type="dxa"/>
              <w:right w:w="95" w:type="dxa"/>
            </w:tcMar>
            <w:shd w:fill="F1F5F7"/>
          </w:tcPr>
          <w:p>
            <w:pPr>
              <w:keepNext w:val="0"/>
              <w:spacing w:after="40" w:before="40" w:line="245" w:lineRule="auto"/>
            </w:pPr>
            <w:r>
              <w:rPr>
                <w:b w:val="0"/>
                <w:color w:val="000000"/>
                <w:sz w:val="19"/>
              </w:rPr>
              <w:t>Trace relevant data paths and verify filtering, routing, access and retention against the approved requirements.</w:t>
            </w:r>
          </w:p>
        </w:tc>
        <w:tc>
          <w:tcPr>
            <w:tcW w:type="dxa" w:w="3600"/>
            <w:vAlign w:val="center"/>
            <w:tcMar>
              <w:top w:w="95" w:type="dxa"/>
              <w:bottom w:w="95" w:type="dxa"/>
              <w:left w:w="95" w:type="dxa"/>
              <w:right w:w="95" w:type="dxa"/>
            </w:tcMar>
            <w:shd w:fill="F1F5F7"/>
          </w:tcPr>
          <w:p>
            <w:pPr>
              <w:keepNext w:val="0"/>
              <w:spacing w:after="40" w:before="40" w:line="245" w:lineRule="auto"/>
            </w:pPr>
            <w:r>
              <w:rPr>
                <w:b w:val="0"/>
                <w:color w:val="000000"/>
                <w:sz w:val="19"/>
              </w:rPr>
              <w:t>Data-flow diagram, configuration checks and sampled records.</w:t>
            </w:r>
          </w:p>
        </w:tc>
      </w:tr>
    </w:tbl>
    <w:p>
      <w:pPr>
        <w:spacing w:after="0"/>
      </w:pPr>
      <w:r/>
    </w:p>
    <w:p>
      <w:pPr>
        <w:pStyle w:val="Heading2"/>
      </w:pPr>
      <w:r>
        <w:t>Coordinate the decision</w:t>
      </w:r>
    </w:p>
    <w:p>
      <w:r>
        <w:t>The TPM links these tests to platform, storage, SRE, IAM, support and legal owners. Engineering estimates delivery effort. GRC validates the evidence approach. Product agrees which customer promise is feasible. The sponsor resolves a conflict between launch timing and required capacity using documented options.</w:t>
      </w:r>
    </w:p>
    <w:p>
      <w:pPr>
        <w:pStyle w:val="Heading2"/>
      </w:pPr>
      <w:r>
        <w:t>Handle change after approval</w:t>
      </w:r>
    </w:p>
    <w:p>
      <w:r>
        <w:t>A new subprocessor, backup location, logging service or support workflow triggers impact review. Update the architecture, commitments, control mappings and tests together. If the change expands the assessment boundary, agree the treatment with the assessor before updating customer claims.</w:t>
      </w:r>
    </w:p>
    <w:p>
      <w:r>
        <w:t>This example demonstrates what the role's regional-boundary language means in practice: legal interpretation becomes a testable technical requirement with operational evidence. The candidate can explain the coordination without pretending to be the architect or the lawyer.</w:t>
      </w:r>
    </w:p>
    <w:p>
      <w:pPr>
        <w:pStyle w:val="Heading1"/>
        <w:pageBreakBefore/>
      </w:pPr>
      <w:r>
        <w:t>11  Risks and decisions to surface early</w:t>
      </w:r>
    </w:p>
    <w:tbl>
      <w:tblPr>
        <w:tblW w:type="auto" w:w="0"/>
        <w:jc w:val="center"/>
        <w:tblLayout w:type="fixed"/>
        <w:tblLook w:firstColumn="1" w:firstRow="1" w:lastColumn="0" w:lastRow="0" w:noHBand="0" w:noVBand="1" w:val="04A0"/>
        <w:tblBorders>
          <w:top w:val="single" w:sz="5" w:color="D9D9D9"/>
          <w:left w:val="single" w:sz="5" w:color="D9D9D9"/>
          <w:bottom w:val="single" w:sz="5" w:color="D9D9D9"/>
          <w:right w:val="single" w:sz="5" w:color="D9D9D9"/>
          <w:insideH w:val="single" w:sz="5" w:color="D9D9D9"/>
          <w:insideV w:val="single" w:sz="5" w:color="D9D9D9"/>
        </w:tblBorders>
      </w:tblPr>
      <w:tblGrid>
        <w:gridCol w:w="2074"/>
        <w:gridCol w:w="3787"/>
        <w:gridCol w:w="4277"/>
      </w:tblGrid>
      <w:tr>
        <w:trPr>
          <w:cantSplit/>
          <w:tblHeader/>
        </w:trPr>
        <w:tc>
          <w:tcPr>
            <w:tcW w:type="dxa" w:w="2074"/>
            <w:vAlign w:val="center"/>
            <w:tcMar>
              <w:top w:w="95" w:type="dxa"/>
              <w:bottom w:w="95" w:type="dxa"/>
              <w:left w:w="95" w:type="dxa"/>
              <w:right w:w="95" w:type="dxa"/>
            </w:tcMar>
            <w:shd w:fill="17364D"/>
          </w:tcPr>
          <w:p>
            <w:pPr>
              <w:keepNext w:val="0"/>
              <w:spacing w:after="40" w:before="40" w:line="245" w:lineRule="auto"/>
            </w:pPr>
            <w:r>
              <w:rPr>
                <w:b/>
                <w:color w:val="FFFFFF"/>
                <w:sz w:val="19"/>
              </w:rPr>
              <w:t>Risk</w:t>
            </w:r>
          </w:p>
        </w:tc>
        <w:tc>
          <w:tcPr>
            <w:tcW w:type="dxa" w:w="3787"/>
            <w:vAlign w:val="center"/>
            <w:tcMar>
              <w:top w:w="95" w:type="dxa"/>
              <w:bottom w:w="95" w:type="dxa"/>
              <w:left w:w="95" w:type="dxa"/>
              <w:right w:w="95" w:type="dxa"/>
            </w:tcMar>
            <w:shd w:fill="17364D"/>
          </w:tcPr>
          <w:p>
            <w:pPr>
              <w:keepNext w:val="0"/>
              <w:spacing w:after="40" w:before="40" w:line="245" w:lineRule="auto"/>
            </w:pPr>
            <w:r>
              <w:rPr>
                <w:b/>
                <w:color w:val="FFFFFF"/>
                <w:sz w:val="19"/>
              </w:rPr>
              <w:t>Early signal</w:t>
            </w:r>
          </w:p>
        </w:tc>
        <w:tc>
          <w:tcPr>
            <w:tcW w:type="dxa" w:w="4277"/>
            <w:vAlign w:val="center"/>
            <w:tcMar>
              <w:top w:w="95" w:type="dxa"/>
              <w:bottom w:w="95" w:type="dxa"/>
              <w:left w:w="95" w:type="dxa"/>
              <w:right w:w="95" w:type="dxa"/>
            </w:tcMar>
            <w:shd w:fill="17364D"/>
          </w:tcPr>
          <w:p>
            <w:pPr>
              <w:keepNext w:val="0"/>
              <w:spacing w:after="40" w:before="40" w:line="245" w:lineRule="auto"/>
            </w:pPr>
            <w:r>
              <w:rPr>
                <w:b/>
                <w:color w:val="FFFFFF"/>
                <w:sz w:val="19"/>
              </w:rPr>
              <w:t>Response and owner</w:t>
            </w:r>
          </w:p>
        </w:tc>
      </w:tr>
      <w:tr>
        <w:trPr>
          <w:cantSplit/>
        </w:trPr>
        <w:tc>
          <w:tcPr>
            <w:tcW w:type="dxa" w:w="2074"/>
            <w:vAlign w:val="center"/>
            <w:tcMar>
              <w:top w:w="95" w:type="dxa"/>
              <w:bottom w:w="95" w:type="dxa"/>
              <w:left w:w="95" w:type="dxa"/>
              <w:right w:w="95" w:type="dxa"/>
            </w:tcMar>
            <w:shd w:fill="FFFFFF"/>
          </w:tcPr>
          <w:p>
            <w:pPr>
              <w:keepNext w:val="0"/>
              <w:spacing w:after="40" w:before="40" w:line="245" w:lineRule="auto"/>
            </w:pPr>
            <w:r>
              <w:rPr>
                <w:b w:val="0"/>
                <w:color w:val="000000"/>
                <w:sz w:val="19"/>
              </w:rPr>
              <w:t>Scope changes after planning</w:t>
            </w:r>
          </w:p>
        </w:tc>
        <w:tc>
          <w:tcPr>
            <w:tcW w:type="dxa" w:w="3787"/>
            <w:vAlign w:val="center"/>
            <w:tcMar>
              <w:top w:w="95" w:type="dxa"/>
              <w:bottom w:w="95" w:type="dxa"/>
              <w:left w:w="95" w:type="dxa"/>
              <w:right w:w="95" w:type="dxa"/>
            </w:tcMar>
            <w:shd w:fill="FFFFFF"/>
          </w:tcPr>
          <w:p>
            <w:pPr>
              <w:keepNext w:val="0"/>
              <w:spacing w:after="40" w:before="40" w:line="245" w:lineRule="auto"/>
            </w:pPr>
            <w:r>
              <w:rPr>
                <w:b w:val="0"/>
                <w:color w:val="000000"/>
                <w:sz w:val="19"/>
              </w:rPr>
              <w:t>New services or regions appear after the audit calendar is agreed.</w:t>
            </w:r>
          </w:p>
        </w:tc>
        <w:tc>
          <w:tcPr>
            <w:tcW w:type="dxa" w:w="4277"/>
            <w:vAlign w:val="center"/>
            <w:tcMar>
              <w:top w:w="95" w:type="dxa"/>
              <w:bottom w:w="95" w:type="dxa"/>
              <w:left w:w="95" w:type="dxa"/>
              <w:right w:w="95" w:type="dxa"/>
            </w:tcMar>
            <w:shd w:fill="FFFFFF"/>
          </w:tcPr>
          <w:p>
            <w:pPr>
              <w:keepNext w:val="0"/>
              <w:spacing w:after="40" w:before="40" w:line="245" w:lineRule="auto"/>
            </w:pPr>
            <w:r>
              <w:rPr>
                <w:b w:val="0"/>
                <w:color w:val="000000"/>
                <w:sz w:val="19"/>
              </w:rPr>
              <w:t>Change control and delta assessment; product and GRC owners.</w:t>
            </w:r>
          </w:p>
        </w:tc>
      </w:tr>
      <w:tr>
        <w:trPr>
          <w:cantSplit/>
        </w:trPr>
        <w:tc>
          <w:tcPr>
            <w:tcW w:type="dxa" w:w="2074"/>
            <w:vAlign w:val="center"/>
            <w:tcMar>
              <w:top w:w="95" w:type="dxa"/>
              <w:bottom w:w="95" w:type="dxa"/>
              <w:left w:w="95" w:type="dxa"/>
              <w:right w:w="95" w:type="dxa"/>
            </w:tcMar>
            <w:shd w:fill="F1F5F7"/>
          </w:tcPr>
          <w:p>
            <w:pPr>
              <w:keepNext w:val="0"/>
              <w:spacing w:after="40" w:before="40" w:line="245" w:lineRule="auto"/>
            </w:pPr>
            <w:r>
              <w:rPr>
                <w:b w:val="0"/>
                <w:color w:val="000000"/>
                <w:sz w:val="19"/>
              </w:rPr>
              <w:t>Unclear shared-control ownership</w:t>
            </w:r>
          </w:p>
        </w:tc>
        <w:tc>
          <w:tcPr>
            <w:tcW w:type="dxa" w:w="3787"/>
            <w:vAlign w:val="center"/>
            <w:tcMar>
              <w:top w:w="95" w:type="dxa"/>
              <w:bottom w:w="95" w:type="dxa"/>
              <w:left w:w="95" w:type="dxa"/>
              <w:right w:w="95" w:type="dxa"/>
            </w:tcMar>
            <w:shd w:fill="F1F5F7"/>
          </w:tcPr>
          <w:p>
            <w:pPr>
              <w:keepNext w:val="0"/>
              <w:spacing w:after="40" w:before="40" w:line="245" w:lineRule="auto"/>
            </w:pPr>
            <w:r>
              <w:rPr>
                <w:b w:val="0"/>
                <w:color w:val="000000"/>
                <w:sz w:val="19"/>
              </w:rPr>
              <w:t>Corporate and cloud teams each assume the other operates a control.</w:t>
            </w:r>
          </w:p>
        </w:tc>
        <w:tc>
          <w:tcPr>
            <w:tcW w:type="dxa" w:w="4277"/>
            <w:vAlign w:val="center"/>
            <w:tcMar>
              <w:top w:w="95" w:type="dxa"/>
              <w:bottom w:w="95" w:type="dxa"/>
              <w:left w:w="95" w:type="dxa"/>
              <w:right w:w="95" w:type="dxa"/>
            </w:tcMar>
            <w:shd w:fill="F1F5F7"/>
          </w:tcPr>
          <w:p>
            <w:pPr>
              <w:keepNext w:val="0"/>
              <w:spacing w:after="40" w:before="40" w:line="245" w:lineRule="auto"/>
            </w:pPr>
            <w:r>
              <w:rPr>
                <w:b w:val="0"/>
                <w:color w:val="000000"/>
                <w:sz w:val="19"/>
              </w:rPr>
              <w:t>One accountable owner, implementation boundary and evidence commitment; sponsor resolves disputes.</w:t>
            </w:r>
          </w:p>
        </w:tc>
      </w:tr>
      <w:tr>
        <w:trPr>
          <w:cantSplit/>
        </w:trPr>
        <w:tc>
          <w:tcPr>
            <w:tcW w:type="dxa" w:w="2074"/>
            <w:vAlign w:val="center"/>
            <w:tcMar>
              <w:top w:w="95" w:type="dxa"/>
              <w:bottom w:w="95" w:type="dxa"/>
              <w:left w:w="95" w:type="dxa"/>
              <w:right w:w="95" w:type="dxa"/>
            </w:tcMar>
            <w:shd w:fill="FFFFFF"/>
          </w:tcPr>
          <w:p>
            <w:pPr>
              <w:keepNext w:val="0"/>
              <w:spacing w:after="40" w:before="40" w:line="245" w:lineRule="auto"/>
            </w:pPr>
            <w:r>
              <w:rPr>
                <w:b w:val="0"/>
                <w:color w:val="000000"/>
                <w:sz w:val="19"/>
              </w:rPr>
              <w:t>Operating evidence is incomplete</w:t>
            </w:r>
          </w:p>
        </w:tc>
        <w:tc>
          <w:tcPr>
            <w:tcW w:type="dxa" w:w="3787"/>
            <w:vAlign w:val="center"/>
            <w:tcMar>
              <w:top w:w="95" w:type="dxa"/>
              <w:bottom w:w="95" w:type="dxa"/>
              <w:left w:w="95" w:type="dxa"/>
              <w:right w:w="95" w:type="dxa"/>
            </w:tcMar>
            <w:shd w:fill="FFFFFF"/>
          </w:tcPr>
          <w:p>
            <w:pPr>
              <w:keepNext w:val="0"/>
              <w:spacing w:after="40" w:before="40" w:line="245" w:lineRule="auto"/>
            </w:pPr>
            <w:r>
              <w:rPr>
                <w:b w:val="0"/>
                <w:color w:val="000000"/>
                <w:sz w:val="19"/>
              </w:rPr>
              <w:t>Missing review cycles, unverified populations or stale records.</w:t>
            </w:r>
          </w:p>
        </w:tc>
        <w:tc>
          <w:tcPr>
            <w:tcW w:type="dxa" w:w="4277"/>
            <w:vAlign w:val="center"/>
            <w:tcMar>
              <w:top w:w="95" w:type="dxa"/>
              <w:bottom w:w="95" w:type="dxa"/>
              <w:left w:w="95" w:type="dxa"/>
              <w:right w:w="95" w:type="dxa"/>
            </w:tcMar>
            <w:shd w:fill="FFFFFF"/>
          </w:tcPr>
          <w:p>
            <w:pPr>
              <w:keepNext w:val="0"/>
              <w:spacing w:after="40" w:before="40" w:line="245" w:lineRule="auto"/>
            </w:pPr>
            <w:r>
              <w:rPr>
                <w:b w:val="0"/>
                <w:color w:val="000000"/>
                <w:sz w:val="19"/>
              </w:rPr>
              <w:t>Preserve gaps, assess impact, fix collection and agree defensible treatment; control owner and GRC.</w:t>
            </w:r>
          </w:p>
        </w:tc>
      </w:tr>
      <w:tr>
        <w:trPr>
          <w:cantSplit/>
        </w:trPr>
        <w:tc>
          <w:tcPr>
            <w:tcW w:type="dxa" w:w="2074"/>
            <w:vAlign w:val="center"/>
            <w:tcMar>
              <w:top w:w="95" w:type="dxa"/>
              <w:bottom w:w="95" w:type="dxa"/>
              <w:left w:w="95" w:type="dxa"/>
              <w:right w:w="95" w:type="dxa"/>
            </w:tcMar>
            <w:shd w:fill="F1F5F7"/>
          </w:tcPr>
          <w:p>
            <w:pPr>
              <w:keepNext w:val="0"/>
              <w:spacing w:after="40" w:before="40" w:line="245" w:lineRule="auto"/>
            </w:pPr>
            <w:r>
              <w:rPr>
                <w:b w:val="0"/>
                <w:color w:val="000000"/>
                <w:sz w:val="19"/>
              </w:rPr>
              <w:t>Engineering capacity is uncommitted</w:t>
            </w:r>
          </w:p>
        </w:tc>
        <w:tc>
          <w:tcPr>
            <w:tcW w:type="dxa" w:w="3787"/>
            <w:vAlign w:val="center"/>
            <w:tcMar>
              <w:top w:w="95" w:type="dxa"/>
              <w:bottom w:w="95" w:type="dxa"/>
              <w:left w:w="95" w:type="dxa"/>
              <w:right w:w="95" w:type="dxa"/>
            </w:tcMar>
            <w:shd w:fill="F1F5F7"/>
          </w:tcPr>
          <w:p>
            <w:pPr>
              <w:keepNext w:val="0"/>
              <w:spacing w:after="40" w:before="40" w:line="245" w:lineRule="auto"/>
            </w:pPr>
            <w:r>
              <w:rPr>
                <w:b w:val="0"/>
                <w:color w:val="000000"/>
                <w:sz w:val="19"/>
              </w:rPr>
              <w:t>Compliance work has no estimate or competes with a fixed launch.</w:t>
            </w:r>
          </w:p>
        </w:tc>
        <w:tc>
          <w:tcPr>
            <w:tcW w:type="dxa" w:w="4277"/>
            <w:vAlign w:val="center"/>
            <w:tcMar>
              <w:top w:w="95" w:type="dxa"/>
              <w:bottom w:w="95" w:type="dxa"/>
              <w:left w:w="95" w:type="dxa"/>
              <w:right w:w="95" w:type="dxa"/>
            </w:tcMar>
            <w:shd w:fill="F1F5F7"/>
          </w:tcPr>
          <w:p>
            <w:pPr>
              <w:keepNext w:val="0"/>
              <w:spacing w:after="40" w:before="40" w:line="245" w:lineRule="auto"/>
            </w:pPr>
            <w:r>
              <w:rPr>
                <w:b w:val="0"/>
                <w:color w:val="000000"/>
                <w:sz w:val="19"/>
              </w:rPr>
              <w:t>Reserve capacity, sequence dependencies and escalate options; engineering leader and TPM.</w:t>
            </w:r>
          </w:p>
        </w:tc>
      </w:tr>
      <w:tr>
        <w:trPr>
          <w:cantSplit/>
        </w:trPr>
        <w:tc>
          <w:tcPr>
            <w:tcW w:type="dxa" w:w="2074"/>
            <w:vAlign w:val="center"/>
            <w:tcMar>
              <w:top w:w="95" w:type="dxa"/>
              <w:bottom w:w="95" w:type="dxa"/>
              <w:left w:w="95" w:type="dxa"/>
              <w:right w:w="95" w:type="dxa"/>
            </w:tcMar>
            <w:shd w:fill="FFFFFF"/>
          </w:tcPr>
          <w:p>
            <w:pPr>
              <w:keepNext w:val="0"/>
              <w:spacing w:after="40" w:before="40" w:line="245" w:lineRule="auto"/>
            </w:pPr>
            <w:r>
              <w:rPr>
                <w:b w:val="0"/>
                <w:color w:val="000000"/>
                <w:sz w:val="19"/>
              </w:rPr>
              <w:t>Customer promises exceed coverage</w:t>
            </w:r>
          </w:p>
        </w:tc>
        <w:tc>
          <w:tcPr>
            <w:tcW w:type="dxa" w:w="3787"/>
            <w:vAlign w:val="center"/>
            <w:tcMar>
              <w:top w:w="95" w:type="dxa"/>
              <w:bottom w:w="95" w:type="dxa"/>
              <w:left w:w="95" w:type="dxa"/>
              <w:right w:w="95" w:type="dxa"/>
            </w:tcMar>
            <w:shd w:fill="FFFFFF"/>
          </w:tcPr>
          <w:p>
            <w:pPr>
              <w:keepNext w:val="0"/>
              <w:spacing w:after="40" w:before="40" w:line="245" w:lineRule="auto"/>
            </w:pPr>
            <w:r>
              <w:rPr>
                <w:b w:val="0"/>
                <w:color w:val="000000"/>
                <w:sz w:val="19"/>
              </w:rPr>
              <w:t>Sales material treats company-wide claims as cloud coverage.</w:t>
            </w:r>
          </w:p>
        </w:tc>
        <w:tc>
          <w:tcPr>
            <w:tcW w:type="dxa" w:w="4277"/>
            <w:vAlign w:val="center"/>
            <w:tcMar>
              <w:top w:w="95" w:type="dxa"/>
              <w:bottom w:w="95" w:type="dxa"/>
              <w:left w:w="95" w:type="dxa"/>
              <w:right w:w="95" w:type="dxa"/>
            </w:tcMar>
            <w:shd w:fill="FFFFFF"/>
          </w:tcPr>
          <w:p>
            <w:pPr>
              <w:keepNext w:val="0"/>
              <w:spacing w:after="40" w:before="40" w:line="245" w:lineRule="auto"/>
            </w:pPr>
            <w:r>
              <w:rPr>
                <w:b w:val="0"/>
                <w:color w:val="000000"/>
                <w:sz w:val="19"/>
              </w:rPr>
              <w:t>Scope-specific approved claims and escalation route; assurance and legal leads.</w:t>
            </w:r>
          </w:p>
        </w:tc>
      </w:tr>
      <w:tr>
        <w:trPr>
          <w:cantSplit/>
        </w:trPr>
        <w:tc>
          <w:tcPr>
            <w:tcW w:type="dxa" w:w="2074"/>
            <w:vAlign w:val="center"/>
            <w:tcMar>
              <w:top w:w="95" w:type="dxa"/>
              <w:bottom w:w="95" w:type="dxa"/>
              <w:left w:w="95" w:type="dxa"/>
              <w:right w:w="95" w:type="dxa"/>
            </w:tcMar>
            <w:shd w:fill="F1F5F7"/>
          </w:tcPr>
          <w:p>
            <w:pPr>
              <w:keepNext w:val="0"/>
              <w:spacing w:after="40" w:before="40" w:line="245" w:lineRule="auto"/>
            </w:pPr>
            <w:r>
              <w:rPr>
                <w:b w:val="0"/>
                <w:color w:val="000000"/>
                <w:sz w:val="19"/>
              </w:rPr>
              <w:t>Regional design conflicts with recovery</w:t>
            </w:r>
          </w:p>
        </w:tc>
        <w:tc>
          <w:tcPr>
            <w:tcW w:type="dxa" w:w="3787"/>
            <w:vAlign w:val="center"/>
            <w:tcMar>
              <w:top w:w="95" w:type="dxa"/>
              <w:bottom w:w="95" w:type="dxa"/>
              <w:left w:w="95" w:type="dxa"/>
              <w:right w:w="95" w:type="dxa"/>
            </w:tcMar>
            <w:shd w:fill="F1F5F7"/>
          </w:tcPr>
          <w:p>
            <w:pPr>
              <w:keepNext w:val="0"/>
              <w:spacing w:after="40" w:before="40" w:line="245" w:lineRule="auto"/>
            </w:pPr>
            <w:r>
              <w:rPr>
                <w:b w:val="0"/>
                <w:color w:val="000000"/>
                <w:sz w:val="19"/>
              </w:rPr>
              <w:t>Failover, telemetry or support crosses an agreed boundary.</w:t>
            </w:r>
          </w:p>
        </w:tc>
        <w:tc>
          <w:tcPr>
            <w:tcW w:type="dxa" w:w="4277"/>
            <w:vAlign w:val="center"/>
            <w:tcMar>
              <w:top w:w="95" w:type="dxa"/>
              <w:bottom w:w="95" w:type="dxa"/>
              <w:left w:w="95" w:type="dxa"/>
              <w:right w:w="95" w:type="dxa"/>
            </w:tcMar>
            <w:shd w:fill="F1F5F7"/>
          </w:tcPr>
          <w:p>
            <w:pPr>
              <w:keepNext w:val="0"/>
              <w:spacing w:after="40" w:before="40" w:line="245" w:lineRule="auto"/>
            </w:pPr>
            <w:r>
              <w:rPr>
                <w:b w:val="0"/>
                <w:color w:val="000000"/>
                <w:sz w:val="19"/>
              </w:rPr>
              <w:t>Test real data paths and recovery design; architecture, SRE and privacy leads.</w:t>
            </w:r>
          </w:p>
        </w:tc>
      </w:tr>
      <w:tr>
        <w:trPr>
          <w:cantSplit/>
        </w:trPr>
        <w:tc>
          <w:tcPr>
            <w:tcW w:type="dxa" w:w="2074"/>
            <w:vAlign w:val="center"/>
            <w:tcMar>
              <w:top w:w="95" w:type="dxa"/>
              <w:bottom w:w="95" w:type="dxa"/>
              <w:left w:w="95" w:type="dxa"/>
              <w:right w:w="95" w:type="dxa"/>
            </w:tcMar>
            <w:shd w:fill="FFFFFF"/>
          </w:tcPr>
          <w:p>
            <w:pPr>
              <w:keepNext w:val="0"/>
              <w:spacing w:after="40" w:before="40" w:line="245" w:lineRule="auto"/>
            </w:pPr>
            <w:r>
              <w:rPr>
                <w:b w:val="0"/>
                <w:color w:val="000000"/>
                <w:sz w:val="19"/>
              </w:rPr>
              <w:t>Assessor or supplier delays</w:t>
            </w:r>
          </w:p>
        </w:tc>
        <w:tc>
          <w:tcPr>
            <w:tcW w:type="dxa" w:w="3787"/>
            <w:vAlign w:val="center"/>
            <w:tcMar>
              <w:top w:w="95" w:type="dxa"/>
              <w:bottom w:w="95" w:type="dxa"/>
              <w:left w:w="95" w:type="dxa"/>
              <w:right w:w="95" w:type="dxa"/>
            </w:tcMar>
            <w:shd w:fill="FFFFFF"/>
          </w:tcPr>
          <w:p>
            <w:pPr>
              <w:keepNext w:val="0"/>
              <w:spacing w:after="40" w:before="40" w:line="245" w:lineRule="auto"/>
            </w:pPr>
            <w:r>
              <w:rPr>
                <w:b w:val="0"/>
                <w:color w:val="000000"/>
                <w:sz w:val="19"/>
              </w:rPr>
              <w:t>Evidence requests or external-control reports are late.</w:t>
            </w:r>
          </w:p>
        </w:tc>
        <w:tc>
          <w:tcPr>
            <w:tcW w:type="dxa" w:w="4277"/>
            <w:vAlign w:val="center"/>
            <w:tcMar>
              <w:top w:w="95" w:type="dxa"/>
              <w:bottom w:w="95" w:type="dxa"/>
              <w:left w:w="95" w:type="dxa"/>
              <w:right w:w="95" w:type="dxa"/>
            </w:tcMar>
            <w:shd w:fill="FFFFFF"/>
          </w:tcPr>
          <w:p>
            <w:pPr>
              <w:keepNext w:val="0"/>
              <w:spacing w:after="40" w:before="40" w:line="245" w:lineRule="auto"/>
            </w:pPr>
            <w:r>
              <w:rPr>
                <w:b w:val="0"/>
                <w:color w:val="000000"/>
                <w:sz w:val="19"/>
              </w:rPr>
              <w:t>Secure slots early, identify substitutes where valid and update forecast; GRC and vendor owner.</w:t>
            </w:r>
          </w:p>
        </w:tc>
      </w:tr>
    </w:tbl>
    <w:p>
      <w:pPr>
        <w:spacing w:after="0"/>
      </w:pPr>
      <w:r/>
    </w:p>
    <w:p>
      <w:pPr>
        <w:pStyle w:val="Heading2"/>
      </w:pPr>
      <w:r>
        <w:t>A decision scenario she should be ready to discuss</w:t>
      </w:r>
    </w:p>
    <w:p>
      <w:r>
        <w:t>Suppose a required access-review cycle is missing during a proposed Type 2 period, and a customer expects the report by a fixed date. Do not backdate a review or hide the gap. Determine what contemporaneous evidence exists, whether the control failed, and which other populations or periods are affected.</w:t>
      </w:r>
    </w:p>
    <w:p>
      <w:r>
        <w:t>The control owner fixes the process; GRC discusses the treatment with the assessor. The TPM develops options: change the report schedule or period if valid, adjust the permitted scope, or proceed with an honestly reflected exception and appropriate customer discussion. Legal and commercial owners handle commitments. The assessor determines the reporting consequence.</w:t>
      </w:r>
    </w:p>
    <w:p>
      <w:pPr>
        <w:pStyle w:val="Heading2"/>
      </w:pPr>
      <w:r>
        <w:t>Suggested escalation trigger</w:t>
      </w:r>
    </w:p>
    <w:p>
      <w:r>
        <w:t>For the sample plan, escalate a threatened committed milestone, an unresolved critical dependency, or a material compliance issue promptly to the named decision owner. Set response targets at kickoff. Do not turn an arbitrary number of overdue tickets into the sole escalation rule.</w:t>
      </w:r>
    </w:p>
    <w:p>
      <w:pPr>
        <w:pStyle w:val="Heading1"/>
        <w:pageBreakBefore/>
      </w:pPr>
      <w:r>
        <w:t>12  Metrics and an effective take home structure</w:t>
      </w:r>
    </w:p>
    <w:p>
      <w:r>
        <w:t>Report readiness and outcomes using a defined denominator. Keep critical failures visible rather than averaging them into a favorable percentage. Set numerical targets after discovery establishes the baseline.</w:t>
      </w:r>
    </w:p>
    <w:tbl>
      <w:tblPr>
        <w:tblW w:type="auto" w:w="0"/>
        <w:jc w:val="center"/>
        <w:tblLayout w:type="fixed"/>
        <w:tblLook w:firstColumn="1" w:firstRow="1" w:lastColumn="0" w:lastRow="0" w:noHBand="0" w:noVBand="1" w:val="04A0"/>
        <w:tblBorders>
          <w:top w:val="single" w:sz="5" w:color="D9D9D9"/>
          <w:left w:val="single" w:sz="5" w:color="D9D9D9"/>
          <w:bottom w:val="single" w:sz="5" w:color="D9D9D9"/>
          <w:right w:val="single" w:sz="5" w:color="D9D9D9"/>
          <w:insideH w:val="single" w:sz="5" w:color="D9D9D9"/>
          <w:insideV w:val="single" w:sz="5" w:color="D9D9D9"/>
        </w:tblBorders>
      </w:tblPr>
      <w:tblGrid>
        <w:gridCol w:w="2347"/>
        <w:gridCol w:w="7790"/>
      </w:tblGrid>
      <w:tr>
        <w:trPr>
          <w:cantSplit/>
          <w:tblHeader/>
        </w:trPr>
        <w:tc>
          <w:tcPr>
            <w:tcW w:type="dxa" w:w="2347"/>
            <w:vAlign w:val="center"/>
            <w:tcMar>
              <w:top w:w="95" w:type="dxa"/>
              <w:bottom w:w="95" w:type="dxa"/>
              <w:left w:w="95" w:type="dxa"/>
              <w:right w:w="95" w:type="dxa"/>
            </w:tcMar>
            <w:shd w:fill="17364D"/>
          </w:tcPr>
          <w:p>
            <w:pPr>
              <w:keepNext w:val="0"/>
              <w:spacing w:after="40" w:before="40" w:line="245" w:lineRule="auto"/>
            </w:pPr>
            <w:r>
              <w:rPr>
                <w:b/>
                <w:color w:val="FFFFFF"/>
                <w:sz w:val="20"/>
              </w:rPr>
              <w:t>Metric</w:t>
            </w:r>
          </w:p>
        </w:tc>
        <w:tc>
          <w:tcPr>
            <w:tcW w:type="dxa" w:w="7790"/>
            <w:vAlign w:val="center"/>
            <w:tcMar>
              <w:top w:w="95" w:type="dxa"/>
              <w:bottom w:w="95" w:type="dxa"/>
              <w:left w:w="95" w:type="dxa"/>
              <w:right w:w="95" w:type="dxa"/>
            </w:tcMar>
            <w:shd w:fill="17364D"/>
          </w:tcPr>
          <w:p>
            <w:pPr>
              <w:keepNext w:val="0"/>
              <w:spacing w:after="40" w:before="40" w:line="245" w:lineRule="auto"/>
            </w:pPr>
            <w:r>
              <w:rPr>
                <w:b/>
                <w:color w:val="FFFFFF"/>
                <w:sz w:val="20"/>
              </w:rPr>
              <w:t>Definition and use</w:t>
            </w:r>
          </w:p>
        </w:tc>
      </w:tr>
      <w:tr>
        <w:trPr>
          <w:cantSplit/>
        </w:trPr>
        <w:tc>
          <w:tcPr>
            <w:tcW w:type="dxa" w:w="2347"/>
            <w:vAlign w:val="center"/>
            <w:tcMar>
              <w:top w:w="95" w:type="dxa"/>
              <w:bottom w:w="95" w:type="dxa"/>
              <w:left w:w="95" w:type="dxa"/>
              <w:right w:w="95" w:type="dxa"/>
            </w:tcMar>
            <w:shd w:fill="FFFFFF"/>
          </w:tcPr>
          <w:p>
            <w:pPr>
              <w:keepNext w:val="0"/>
              <w:spacing w:after="40" w:before="40" w:line="245" w:lineRule="auto"/>
            </w:pPr>
            <w:r>
              <w:rPr>
                <w:b w:val="0"/>
                <w:color w:val="000000"/>
                <w:sz w:val="20"/>
              </w:rPr>
              <w:t>Scope and ownership completeness</w:t>
            </w:r>
          </w:p>
        </w:tc>
        <w:tc>
          <w:tcPr>
            <w:tcW w:type="dxa" w:w="7790"/>
            <w:vAlign w:val="center"/>
            <w:tcMar>
              <w:top w:w="95" w:type="dxa"/>
              <w:bottom w:w="95" w:type="dxa"/>
              <w:left w:w="95" w:type="dxa"/>
              <w:right w:w="95" w:type="dxa"/>
            </w:tcMar>
            <w:shd w:fill="FFFFFF"/>
          </w:tcPr>
          <w:p>
            <w:pPr>
              <w:keepNext w:val="0"/>
              <w:spacing w:after="40" w:before="40" w:line="245" w:lineRule="auto"/>
            </w:pPr>
            <w:r>
              <w:rPr>
                <w:b w:val="0"/>
                <w:color w:val="000000"/>
                <w:sz w:val="20"/>
              </w:rPr>
              <w:t>In-scope controls with approved boundaries and accountable owners divided by total in-scope controls.</w:t>
            </w:r>
          </w:p>
        </w:tc>
      </w:tr>
      <w:tr>
        <w:trPr>
          <w:cantSplit/>
        </w:trPr>
        <w:tc>
          <w:tcPr>
            <w:tcW w:type="dxa" w:w="2347"/>
            <w:vAlign w:val="center"/>
            <w:tcMar>
              <w:top w:w="95" w:type="dxa"/>
              <w:bottom w:w="95" w:type="dxa"/>
              <w:left w:w="95" w:type="dxa"/>
              <w:right w:w="95" w:type="dxa"/>
            </w:tcMar>
            <w:shd w:fill="F1F5F7"/>
          </w:tcPr>
          <w:p>
            <w:pPr>
              <w:keepNext w:val="0"/>
              <w:spacing w:after="40" w:before="40" w:line="245" w:lineRule="auto"/>
            </w:pPr>
            <w:r>
              <w:rPr>
                <w:b w:val="0"/>
                <w:color w:val="000000"/>
                <w:sz w:val="20"/>
              </w:rPr>
              <w:t>Evidence acceptance</w:t>
            </w:r>
          </w:p>
        </w:tc>
        <w:tc>
          <w:tcPr>
            <w:tcW w:type="dxa" w:w="7790"/>
            <w:vAlign w:val="center"/>
            <w:tcMar>
              <w:top w:w="95" w:type="dxa"/>
              <w:bottom w:w="95" w:type="dxa"/>
              <w:left w:w="95" w:type="dxa"/>
              <w:right w:w="95" w:type="dxa"/>
            </w:tcMar>
            <w:shd w:fill="F1F5F7"/>
          </w:tcPr>
          <w:p>
            <w:pPr>
              <w:keepNext w:val="0"/>
              <w:spacing w:after="40" w:before="40" w:line="245" w:lineRule="auto"/>
            </w:pPr>
            <w:r>
              <w:rPr>
                <w:b w:val="0"/>
                <w:color w:val="000000"/>
                <w:sz w:val="20"/>
              </w:rPr>
              <w:t>Evidence items accepted by the designated reviewer divided by items due for the period; show critical failures separately.</w:t>
            </w:r>
          </w:p>
        </w:tc>
      </w:tr>
      <w:tr>
        <w:trPr>
          <w:cantSplit/>
        </w:trPr>
        <w:tc>
          <w:tcPr>
            <w:tcW w:type="dxa" w:w="2347"/>
            <w:vAlign w:val="center"/>
            <w:tcMar>
              <w:top w:w="95" w:type="dxa"/>
              <w:bottom w:w="95" w:type="dxa"/>
              <w:left w:w="95" w:type="dxa"/>
              <w:right w:w="95" w:type="dxa"/>
            </w:tcMar>
            <w:shd w:fill="FFFFFF"/>
          </w:tcPr>
          <w:p>
            <w:pPr>
              <w:keepNext w:val="0"/>
              <w:spacing w:after="40" w:before="40" w:line="245" w:lineRule="auto"/>
            </w:pPr>
            <w:r>
              <w:rPr>
                <w:b w:val="0"/>
                <w:color w:val="000000"/>
                <w:sz w:val="20"/>
              </w:rPr>
              <w:t>Operating coverage</w:t>
            </w:r>
          </w:p>
        </w:tc>
        <w:tc>
          <w:tcPr>
            <w:tcW w:type="dxa" w:w="7790"/>
            <w:vAlign w:val="center"/>
            <w:tcMar>
              <w:top w:w="95" w:type="dxa"/>
              <w:bottom w:w="95" w:type="dxa"/>
              <w:left w:w="95" w:type="dxa"/>
              <w:right w:w="95" w:type="dxa"/>
            </w:tcMar>
            <w:shd w:fill="FFFFFF"/>
          </w:tcPr>
          <w:p>
            <w:pPr>
              <w:keepNext w:val="0"/>
              <w:spacing w:after="40" w:before="40" w:line="245" w:lineRule="auto"/>
            </w:pPr>
            <w:r>
              <w:rPr>
                <w:b w:val="0"/>
                <w:color w:val="000000"/>
                <w:sz w:val="20"/>
              </w:rPr>
              <w:t>Required control executions with complete, timely evidence divided by executions due; break out by control and service.</w:t>
            </w:r>
          </w:p>
        </w:tc>
      </w:tr>
      <w:tr>
        <w:trPr>
          <w:cantSplit/>
        </w:trPr>
        <w:tc>
          <w:tcPr>
            <w:tcW w:type="dxa" w:w="2347"/>
            <w:vAlign w:val="center"/>
            <w:tcMar>
              <w:top w:w="95" w:type="dxa"/>
              <w:bottom w:w="95" w:type="dxa"/>
              <w:left w:w="95" w:type="dxa"/>
              <w:right w:w="95" w:type="dxa"/>
            </w:tcMar>
            <w:shd w:fill="F1F5F7"/>
          </w:tcPr>
          <w:p>
            <w:pPr>
              <w:keepNext w:val="0"/>
              <w:spacing w:after="40" w:before="40" w:line="245" w:lineRule="auto"/>
            </w:pPr>
            <w:r>
              <w:rPr>
                <w:b w:val="0"/>
                <w:color w:val="000000"/>
                <w:sz w:val="20"/>
              </w:rPr>
              <w:t>Remediation and dependencies</w:t>
            </w:r>
          </w:p>
        </w:tc>
        <w:tc>
          <w:tcPr>
            <w:tcW w:type="dxa" w:w="7790"/>
            <w:vAlign w:val="center"/>
            <w:tcMar>
              <w:top w:w="95" w:type="dxa"/>
              <w:bottom w:w="95" w:type="dxa"/>
              <w:left w:w="95" w:type="dxa"/>
              <w:right w:w="95" w:type="dxa"/>
            </w:tcMar>
            <w:shd w:fill="F1F5F7"/>
          </w:tcPr>
          <w:p>
            <w:pPr>
              <w:keepNext w:val="0"/>
              <w:spacing w:after="40" w:before="40" w:line="245" w:lineRule="auto"/>
            </w:pPr>
            <w:r>
              <w:rPr>
                <w:b w:val="0"/>
                <w:color w:val="000000"/>
                <w:sz w:val="20"/>
              </w:rPr>
              <w:t>Overdue critical findings, dependency age and forecast movement on committed milestones.</w:t>
            </w:r>
          </w:p>
        </w:tc>
      </w:tr>
      <w:tr>
        <w:trPr>
          <w:cantSplit/>
        </w:trPr>
        <w:tc>
          <w:tcPr>
            <w:tcW w:type="dxa" w:w="2347"/>
            <w:vAlign w:val="center"/>
            <w:tcMar>
              <w:top w:w="95" w:type="dxa"/>
              <w:bottom w:w="95" w:type="dxa"/>
              <w:left w:w="95" w:type="dxa"/>
              <w:right w:w="95" w:type="dxa"/>
            </w:tcMar>
            <w:shd w:fill="FFFFFF"/>
          </w:tcPr>
          <w:p>
            <w:pPr>
              <w:keepNext w:val="0"/>
              <w:spacing w:after="40" w:before="40" w:line="245" w:lineRule="auto"/>
            </w:pPr>
            <w:r>
              <w:rPr>
                <w:b w:val="0"/>
                <w:color w:val="000000"/>
                <w:sz w:val="20"/>
              </w:rPr>
              <w:t>Evidence efficiency</w:t>
            </w:r>
          </w:p>
        </w:tc>
        <w:tc>
          <w:tcPr>
            <w:tcW w:type="dxa" w:w="7790"/>
            <w:vAlign w:val="center"/>
            <w:tcMar>
              <w:top w:w="95" w:type="dxa"/>
              <w:bottom w:w="95" w:type="dxa"/>
              <w:left w:w="95" w:type="dxa"/>
              <w:right w:w="95" w:type="dxa"/>
            </w:tcMar>
            <w:shd w:fill="FFFFFF"/>
          </w:tcPr>
          <w:p>
            <w:pPr>
              <w:keepNext w:val="0"/>
              <w:spacing w:after="40" w:before="40" w:line="245" w:lineRule="auto"/>
            </w:pPr>
            <w:r>
              <w:rPr>
                <w:b w:val="0"/>
                <w:color w:val="000000"/>
                <w:sz w:val="20"/>
              </w:rPr>
              <w:t>Collection and review effort per recurring control cycle, alongside rejection and rework rates.</w:t>
            </w:r>
          </w:p>
        </w:tc>
      </w:tr>
      <w:tr>
        <w:trPr>
          <w:cantSplit/>
        </w:trPr>
        <w:tc>
          <w:tcPr>
            <w:tcW w:type="dxa" w:w="2347"/>
            <w:vAlign w:val="center"/>
            <w:tcMar>
              <w:top w:w="95" w:type="dxa"/>
              <w:bottom w:w="95" w:type="dxa"/>
              <w:left w:w="95" w:type="dxa"/>
              <w:right w:w="95" w:type="dxa"/>
            </w:tcMar>
            <w:shd w:fill="F1F5F7"/>
          </w:tcPr>
          <w:p>
            <w:pPr>
              <w:keepNext w:val="0"/>
              <w:spacing w:after="40" w:before="40" w:line="245" w:lineRule="auto"/>
            </w:pPr>
            <w:r>
              <w:rPr>
                <w:b w:val="0"/>
                <w:color w:val="000000"/>
                <w:sz w:val="20"/>
              </w:rPr>
              <w:t>Business outcome</w:t>
            </w:r>
          </w:p>
        </w:tc>
        <w:tc>
          <w:tcPr>
            <w:tcW w:type="dxa" w:w="7790"/>
            <w:vAlign w:val="center"/>
            <w:tcMar>
              <w:top w:w="95" w:type="dxa"/>
              <w:bottom w:w="95" w:type="dxa"/>
              <w:left w:w="95" w:type="dxa"/>
              <w:right w:w="95" w:type="dxa"/>
            </w:tcMar>
            <w:shd w:fill="F1F5F7"/>
          </w:tcPr>
          <w:p>
            <w:pPr>
              <w:keepNext w:val="0"/>
              <w:spacing w:after="40" w:before="40" w:line="245" w:lineRule="auto"/>
            </w:pPr>
            <w:r>
              <w:rPr>
                <w:b w:val="0"/>
                <w:color w:val="000000"/>
                <w:sz w:val="20"/>
              </w:rPr>
              <w:t>Time to answer scoped assurance requests; customer or launch commitments enabled, with attribution agreed with product and sales.</w:t>
            </w:r>
          </w:p>
        </w:tc>
      </w:tr>
    </w:tbl>
    <w:p>
      <w:pPr>
        <w:spacing w:after="0"/>
      </w:pPr>
      <w:r/>
    </w:p>
    <w:p>
      <w:pPr>
        <w:pStyle w:val="Heading2"/>
      </w:pPr>
      <w:r>
        <w:t>A compact assignment structure</w:t>
      </w:r>
    </w:p>
    <w:p>
      <w:r>
        <w:t>Unless the prompt specifies another format, use a concise main submission and put supporting detail in an appendix. A six-part structure works well:</w:t>
      </w:r>
    </w:p>
    <w:p>
      <w:pPr>
        <w:pStyle w:val="ListBullet"/>
      </w:pPr>
      <w:r>
        <w:t>1. Objective and assumptions: business outcome, service boundary, required frameworks and decisions needed.</w:t>
      </w:r>
    </w:p>
    <w:p>
      <w:pPr>
        <w:pStyle w:val="ListBullet"/>
      </w:pPr>
      <w:r>
        <w:t>2. Current state: verified baseline and a clear separation of evidence from hypotheses.</w:t>
      </w:r>
    </w:p>
    <w:p>
      <w:pPr>
        <w:pStyle w:val="ListBullet"/>
      </w:pPr>
      <w:r>
        <w:t>3. Delivery plan: workstreams, dependencies, 90-day milestones and the longer assurance path.</w:t>
      </w:r>
    </w:p>
    <w:p>
      <w:pPr>
        <w:pStyle w:val="ListBullet"/>
      </w:pPr>
      <w:r>
        <w:t>4. Team model: accountable roles, governance cadence and escalation rights.</w:t>
      </w:r>
    </w:p>
    <w:p>
      <w:pPr>
        <w:pStyle w:val="ListBullet"/>
      </w:pPr>
      <w:r>
        <w:t>5. Risk and trade-off: one realistic conflict, the options and the recommended decision.</w:t>
      </w:r>
    </w:p>
    <w:p>
      <w:pPr>
        <w:pStyle w:val="ListBullet"/>
      </w:pPr>
      <w:r>
        <w:t>6. Success measures: exit gates, evidence quality and ongoing operational ownership.</w:t>
      </w:r>
    </w:p>
    <w:p>
      <w:pPr>
        <w:pStyle w:val="Heading2"/>
      </w:pPr>
      <w:r>
        <w:t>A sample steering update</w:t>
      </w:r>
    </w:p>
    <w:p>
      <w:r>
        <w:t>Illustrative status: Amber. The pilot boundary is approved and four of five priority controls have accepted evidence. The remaining privileged-access population depends on a platform inventory fix, placing the readiness gate at risk. Decision requested by Friday: reserve the estimated engineering capacity or move the gate. Recommendation: fund the fix and publish a revised forecast after its verification test. Counts and dates here are examples, not Akamai data.</w:t>
      </w:r>
    </w:p>
    <w:p>
      <w:pPr>
        <w:pStyle w:val="Heading1"/>
        <w:pageBreakBefore/>
      </w:pPr>
      <w:r>
        <w:t>13  Interview questions and rehearsal</w:t>
      </w:r>
    </w:p>
    <w:p>
      <w:pPr>
        <w:pStyle w:val="Heading2"/>
      </w:pPr>
      <w:r>
        <w:t>Questions for the hiring manager</w:t>
      </w:r>
    </w:p>
    <w:p>
      <w:pPr>
        <w:pStyle w:val="ListBullet"/>
      </w:pPr>
      <w:r>
        <w:t>What outcome is driving the hire: expanded scope, Type 2 assurance, a regulatory deadline, a customer commitment or a recurring execution problem?</w:t>
      </w:r>
    </w:p>
    <w:p>
      <w:pPr>
        <w:pStyle w:val="ListBullet"/>
      </w:pPr>
      <w:r>
        <w:t>Which services, legal entities and regions are in scope, and which new offerings are expected during the assessment cycle?</w:t>
      </w:r>
    </w:p>
    <w:p>
      <w:pPr>
        <w:pStyle w:val="ListBullet"/>
      </w:pPr>
      <w:r>
        <w:t>What is the current cloud-specific SOC 2 and C5 status, and what observation period or examination date is already committed?</w:t>
      </w:r>
    </w:p>
    <w:p>
      <w:pPr>
        <w:pStyle w:val="ListBullet"/>
      </w:pPr>
      <w:r>
        <w:t>Which control implementations are shared with corporate Akamai, and where does the cloud organization retain separate ownership?</w:t>
      </w:r>
    </w:p>
    <w:p>
      <w:pPr>
        <w:pStyle w:val="ListBullet"/>
      </w:pPr>
      <w:r>
        <w:t>What authority does this role have to secure engineering capacity, escalate unresolved decisions and influence launch commitments?</w:t>
      </w:r>
    </w:p>
    <w:p>
      <w:pPr>
        <w:pStyle w:val="ListBullet"/>
      </w:pPr>
      <w:r>
        <w:t>How will success at 90 and 180 days be measured, and what has made the program difficult so far?</w:t>
      </w:r>
    </w:p>
    <w:p>
      <w:pPr>
        <w:pStyle w:val="Heading2"/>
      </w:pPr>
      <w:r>
        <w:t>Questions the candidate should rehearse</w:t>
      </w:r>
    </w:p>
    <w:p>
      <w:r>
        <w:t>How do you begin with ambiguous requirements? Explain the intake, provisional boundary, assumptions register, decision owners and short validation cycles. Show progress before every uncertainty is resolved.</w:t>
      </w:r>
    </w:p>
    <w:p>
      <w:r>
        <w:t>What if engineering disagrees with compliance? Establish the required outcome, ask for technically feasible options, test the interpretation with the right subject-matter experts and escalate only the remaining business trade-off.</w:t>
      </w:r>
    </w:p>
    <w:p>
      <w:r>
        <w:t>What if a deadline is unrealistic? Show the critical path, the evidence period and capacity constraints. Offer bounded scope, different sequencing or a revised commitment where permissible. Preserve statutory obligations and assessment independence.</w:t>
      </w:r>
    </w:p>
    <w:p>
      <w:r>
        <w:t>How do you demonstrate leadership without authority? Use an example from her own work showing a concrete conflict, stakeholder interests, a decision she enabled and an observable result. Do not invent a compliance project or metric.</w:t>
      </w:r>
    </w:p>
    <w:p>
      <w:pPr>
        <w:pStyle w:val="Heading2"/>
      </w:pPr>
      <w:r>
        <w:t>Final self review</w:t>
      </w:r>
    </w:p>
    <w:p>
      <w:pPr>
        <w:pStyle w:val="ListBullet"/>
      </w:pPr>
      <w:r>
        <w:t>Does every priority have an owner, dependency, test and completion criterion?</w:t>
      </w:r>
    </w:p>
    <w:p>
      <w:pPr>
        <w:pStyle w:val="ListBullet"/>
      </w:pPr>
      <w:r>
        <w:t>Can the reader distinguish readiness from issued assurance, and facts from assumptions?</w:t>
      </w:r>
    </w:p>
    <w:p>
      <w:pPr>
        <w:pStyle w:val="ListBullet"/>
      </w:pPr>
      <w:r>
        <w:t>Does the plan explain what happens when a region, service or control changes?</w:t>
      </w:r>
    </w:p>
    <w:p>
      <w:pPr>
        <w:pStyle w:val="ListBullet"/>
      </w:pPr>
      <w:r>
        <w:t>Are the main recommendations understandable to engineering, legal and executive readers?</w:t>
      </w:r>
    </w:p>
    <w:p>
      <w:pPr>
        <w:pStyle w:val="ListBullet"/>
      </w:pPr>
      <w:r>
        <w:t>Is the submission within the assignment's length, format and assistance rules?</w:t>
      </w:r>
    </w:p>
    <w:p>
      <w:r>
        <w:t>The most persuasive candidate will show disciplined judgment: she can bring the right people together, turn obligations into deliverable work and maintain a truthful picture of what the company can demonstrate.</w:t>
      </w:r>
    </w:p>
    <w:p>
      <w:pPr>
        <w:pStyle w:val="Heading1"/>
        <w:pageBreakBefore/>
      </w:pPr>
      <w:r>
        <w:t>14  Sources for company and role research</w:t>
      </w:r>
    </w:p>
    <w:p>
      <w:pPr>
        <w:spacing w:after="60"/>
      </w:pPr>
      <w:r/>
      <w:r>
        <w:rPr>
          <w:b/>
        </w:rPr>
        <w:t xml:space="preserve">1  </w:t>
      </w:r>
      <w:hyperlink r:id="rId10">
        <w:r>
          <w:rPr>
            <w:color w:val="145A80"/>
            <w:u w:val="single"/>
          </w:rPr>
          <w:t>Akamai completion of the Linode acquisition</w:t>
        </w:r>
      </w:hyperlink>
    </w:p>
    <w:p>
      <w:pPr>
        <w:spacing w:after="200"/>
      </w:pPr>
      <w:r>
        <w:rPr>
          <w:sz w:val="20"/>
        </w:rPr>
        <w:t>21 March 2022. Primary announcement for completion, acquisition consideration and original rationale.</w:t>
      </w:r>
    </w:p>
    <w:p>
      <w:pPr>
        <w:spacing w:after="60"/>
      </w:pPr>
      <w:r/>
      <w:r>
        <w:rPr>
          <w:b/>
        </w:rPr>
        <w:t xml:space="preserve">2  </w:t>
      </w:r>
      <w:hyperlink r:id="rId11">
        <w:r>
          <w:rPr>
            <w:color w:val="145A80"/>
            <w:u w:val="single"/>
          </w:rPr>
          <w:t>Akamai Connected Cloud launch</w:t>
        </w:r>
      </w:hyperlink>
    </w:p>
    <w:p>
      <w:pPr>
        <w:spacing w:after="200"/>
      </w:pPr>
      <w:r>
        <w:rPr>
          <w:sz w:val="20"/>
        </w:rPr>
        <w:t>14 February 2023. Original launch and compliance expansion context; historical capabilities are not current scope proof.</w:t>
      </w:r>
    </w:p>
    <w:p>
      <w:pPr>
        <w:spacing w:after="60"/>
      </w:pPr>
      <w:r/>
      <w:r>
        <w:rPr>
          <w:b/>
        </w:rPr>
        <w:t xml:space="preserve">3  </w:t>
      </w:r>
      <w:hyperlink r:id="rId12">
        <w:r>
          <w:rPr>
            <w:color w:val="145A80"/>
            <w:u w:val="single"/>
          </w:rPr>
          <w:t>Akamai second quarter 2026 results</w:t>
        </w:r>
      </w:hyperlink>
    </w:p>
    <w:p>
      <w:pPr>
        <w:spacing w:after="200"/>
      </w:pPr>
      <w:r>
        <w:rPr>
          <w:sz w:val="20"/>
        </w:rPr>
        <w:t>6 August 2026. Current business context; distinguishes quarterly revenue from multiyear contract commitments.</w:t>
      </w:r>
    </w:p>
    <w:p>
      <w:pPr>
        <w:spacing w:after="60"/>
      </w:pPr>
      <w:r/>
      <w:r>
        <w:rPr>
          <w:b/>
        </w:rPr>
        <w:t xml:space="preserve">4  </w:t>
      </w:r>
      <w:hyperlink r:id="rId13">
        <w:r>
          <w:rPr>
            <w:color w:val="145A80"/>
            <w:u w:val="single"/>
          </w:rPr>
          <w:t>Published ISO IEC 27001 certificate</w:t>
        </w:r>
      </w:hyperlink>
    </w:p>
    <w:p>
      <w:pPr>
        <w:spacing w:after="200"/>
      </w:pPr>
      <w:r>
        <w:rPr>
          <w:sz w:val="20"/>
        </w:rPr>
        <w:t>Issued 3 October 2025. Cloud services and recertification dates are on page 2. The URL contains 2024; the document itself records 2025 issuance.</w:t>
      </w:r>
    </w:p>
    <w:p>
      <w:pPr>
        <w:spacing w:after="60"/>
      </w:pPr>
      <w:r/>
      <w:r>
        <w:rPr>
          <w:b/>
        </w:rPr>
        <w:t xml:space="preserve">5  </w:t>
      </w:r>
      <w:hyperlink r:id="rId14">
        <w:r>
          <w:rPr>
            <w:color w:val="145A80"/>
            <w:u w:val="single"/>
          </w:rPr>
          <w:t>Published ISO IEC 27017 certificate</w:t>
        </w:r>
      </w:hyperlink>
    </w:p>
    <w:p>
      <w:pPr>
        <w:spacing w:after="200"/>
      </w:pPr>
      <w:r>
        <w:rPr>
          <w:sz w:val="20"/>
        </w:rPr>
        <w:t>Issued 3 October 2025. Cloud-specific scope and its relationship to the wider management system.</w:t>
      </w:r>
    </w:p>
    <w:p>
      <w:pPr>
        <w:spacing w:after="60"/>
      </w:pPr>
      <w:r/>
      <w:r>
        <w:rPr>
          <w:b/>
        </w:rPr>
        <w:t xml:space="preserve">6  </w:t>
      </w:r>
      <w:hyperlink r:id="rId15">
        <w:r>
          <w:rPr>
            <w:color w:val="145A80"/>
            <w:u w:val="single"/>
          </w:rPr>
          <w:t>Akamai Trust Center</w:t>
        </w:r>
      </w:hyperlink>
    </w:p>
    <w:p>
      <w:pPr>
        <w:spacing w:after="200"/>
      </w:pPr>
      <w:r>
        <w:rPr>
          <w:sz w:val="20"/>
        </w:rPr>
        <w:t>Live catalog reviewed 15 September 2026. Search Documents for SOC or HIPAA. The cloud Type 1 report and other controlled reports require access; catalog dates are upload/update dates, not audit coverage dates.</w:t>
      </w:r>
    </w:p>
    <w:p>
      <w:pPr>
        <w:spacing w:after="60"/>
      </w:pPr>
      <w:r/>
      <w:r>
        <w:rPr>
          <w:b/>
        </w:rPr>
        <w:t xml:space="preserve">7  </w:t>
      </w:r>
      <w:hyperlink r:id="rId16">
        <w:r>
          <w:rPr>
            <w:color w:val="145A80"/>
            <w:u w:val="single"/>
          </w:rPr>
          <w:t>Akamai Senior Technical Program Manager posting</w:t>
        </w:r>
      </w:hyperlink>
    </w:p>
    <w:p>
      <w:pPr>
        <w:spacing w:after="200"/>
      </w:pPr>
      <w:r>
        <w:rPr>
          <w:sz w:val="20"/>
        </w:rPr>
        <w:t>Public employer text reviewed 15 September 2026. Cloud Technology Group Product Program Management. A close match to the described role; exact requisition should be confirmed. The listing is marked no longer accepting applications.</w:t>
      </w:r>
    </w:p>
    <w:p>
      <w:pPr>
        <w:spacing w:after="60"/>
      </w:pPr>
      <w:r/>
      <w:r>
        <w:rPr>
          <w:b/>
        </w:rPr>
        <w:t xml:space="preserve">8  </w:t>
      </w:r>
      <w:hyperlink r:id="rId17">
        <w:r>
          <w:rPr>
            <w:color w:val="145A80"/>
            <w:u w:val="single"/>
          </w:rPr>
          <w:t>Akamai shared security model</w:t>
        </w:r>
      </w:hyperlink>
    </w:p>
    <w:p>
      <w:pPr>
        <w:spacing w:after="200"/>
      </w:pPr>
      <w:r>
        <w:rPr>
          <w:sz w:val="20"/>
        </w:rPr>
        <w:t>Reviewed 15 September 2026. Provider and customer responsibilities for the Linode infrastructure model.</w:t>
      </w:r>
    </w:p>
    <w:p>
      <w:pPr>
        <w:spacing w:after="60"/>
      </w:pPr>
      <w:r/>
      <w:r>
        <w:rPr>
          <w:b/>
        </w:rPr>
        <w:t xml:space="preserve">9  </w:t>
      </w:r>
      <w:hyperlink r:id="rId18">
        <w:r>
          <w:rPr>
            <w:color w:val="145A80"/>
            <w:u w:val="single"/>
          </w:rPr>
          <w:t>Welcome to Akamai Cloud</w:t>
        </w:r>
      </w:hyperlink>
    </w:p>
    <w:p>
      <w:pPr>
        <w:spacing w:after="200"/>
      </w:pPr>
      <w:r>
        <w:rPr>
          <w:sz w:val="20"/>
        </w:rPr>
        <w:t>Reviewed 15 September 2026. Current product terminology and cloud documentation entry point.</w:t>
      </w:r>
    </w:p>
    <w:p>
      <w:pPr>
        <w:pStyle w:val="Heading1"/>
        <w:pageBreakBefore/>
      </w:pPr>
      <w:r>
        <w:t>15  Sources for compliance interpretation</w:t>
      </w:r>
    </w:p>
    <w:p>
      <w:pPr>
        <w:spacing w:after="60"/>
      </w:pPr>
      <w:r/>
      <w:r>
        <w:rPr>
          <w:b/>
        </w:rPr>
        <w:t xml:space="preserve">10  </w:t>
      </w:r>
      <w:hyperlink r:id="rId19">
        <w:r>
          <w:rPr>
            <w:color w:val="145A80"/>
            <w:u w:val="single"/>
          </w:rPr>
          <w:t>EU implementing regulation 2024 2690</w:t>
        </w:r>
      </w:hyperlink>
    </w:p>
    <w:p>
      <w:pPr>
        <w:spacing w:after="200"/>
      </w:pPr>
      <w:r>
        <w:rPr>
          <w:sz w:val="20"/>
        </w:rPr>
        <w:t>17 October 2024. Primary rules covering technical and methodological measures and significant incidents for listed digital infrastructure providers.</w:t>
      </w:r>
    </w:p>
    <w:p>
      <w:pPr>
        <w:spacing w:after="60"/>
      </w:pPr>
      <w:r/>
      <w:r>
        <w:rPr>
          <w:b/>
        </w:rPr>
        <w:t xml:space="preserve">11  </w:t>
      </w:r>
      <w:hyperlink r:id="rId20">
        <w:r>
          <w:rPr>
            <w:color w:val="145A80"/>
            <w:u w:val="single"/>
          </w:rPr>
          <w:t>Akamai information security compliance overview</w:t>
        </w:r>
      </w:hyperlink>
    </w:p>
    <w:p>
      <w:pPr>
        <w:spacing w:after="200"/>
      </w:pPr>
      <w:r>
        <w:rPr>
          <w:sz w:val="20"/>
        </w:rPr>
        <w:t>Portuguese page reviewed 15 September 2026. Supplementary product-scope overview. Treat current certificates, reports and official authorization records as controlling evidence.</w:t>
      </w:r>
    </w:p>
    <w:p>
      <w:pPr>
        <w:spacing w:after="60"/>
      </w:pPr>
      <w:r/>
      <w:r>
        <w:rPr>
          <w:b/>
        </w:rPr>
        <w:t xml:space="preserve">12  </w:t>
      </w:r>
      <w:hyperlink r:id="rId21">
        <w:r>
          <w:rPr>
            <w:color w:val="145A80"/>
            <w:u w:val="single"/>
          </w:rPr>
          <w:t>AICPA Journal of Accountancy explanation of SOC</w:t>
        </w:r>
      </w:hyperlink>
    </w:p>
    <w:p>
      <w:pPr>
        <w:spacing w:after="200"/>
      </w:pPr>
      <w:r>
        <w:rPr>
          <w:sz w:val="20"/>
        </w:rPr>
        <w:t>13 June 2016. Used for the established distinction between point-in-time and period-based reports; not as current implementation guidance.</w:t>
      </w:r>
    </w:p>
    <w:p>
      <w:pPr>
        <w:spacing w:after="60"/>
      </w:pPr>
      <w:r/>
      <w:r>
        <w:rPr>
          <w:b/>
        </w:rPr>
        <w:t xml:space="preserve">13  </w:t>
      </w:r>
      <w:hyperlink r:id="rId22">
        <w:r>
          <w:rPr>
            <w:color w:val="145A80"/>
            <w:u w:val="single"/>
          </w:rPr>
          <w:t>BSI C5 FAQ and transition guidance</w:t>
        </w:r>
      </w:hyperlink>
    </w:p>
    <w:p>
      <w:pPr>
        <w:spacing w:after="200"/>
      </w:pPr>
      <w:r>
        <w:rPr>
          <w:sz w:val="20"/>
        </w:rPr>
        <w:t>Primary search-index text reviewed 15 September 2026. BSI material identifies C5:2026 and transition provisions. Confirm the applicable edition and dates with the assessor.</w:t>
      </w:r>
    </w:p>
    <w:p>
      <w:pPr>
        <w:spacing w:after="60"/>
      </w:pPr>
      <w:r/>
      <w:r>
        <w:rPr>
          <w:b/>
        </w:rPr>
        <w:t xml:space="preserve">14  </w:t>
      </w:r>
      <w:hyperlink r:id="rId23">
        <w:r>
          <w:rPr>
            <w:color w:val="145A80"/>
            <w:u w:val="single"/>
          </w:rPr>
          <w:t>HHS guidance on HIPAA and cloud computing</w:t>
        </w:r>
      </w:hyperlink>
    </w:p>
    <w:p>
      <w:pPr>
        <w:spacing w:after="200"/>
      </w:pPr>
      <w:r>
        <w:rPr>
          <w:sz w:val="20"/>
        </w:rPr>
        <w:t>Reviewed 15 September 2026. Business associate obligations, cloud agreements and customer/provider responsibilities.</w:t>
      </w:r>
    </w:p>
    <w:p>
      <w:pPr>
        <w:spacing w:after="60"/>
      </w:pPr>
      <w:r/>
      <w:r>
        <w:rPr>
          <w:b/>
        </w:rPr>
        <w:t xml:space="preserve">15  </w:t>
      </w:r>
      <w:hyperlink r:id="rId24">
        <w:r>
          <w:rPr>
            <w:color w:val="145A80"/>
            <w:u w:val="single"/>
          </w:rPr>
          <w:t>HHS explanation of HIPAA certification</w:t>
        </w:r>
      </w:hyperlink>
    </w:p>
    <w:p>
      <w:pPr>
        <w:spacing w:after="200"/>
      </w:pPr>
      <w:r>
        <w:rPr>
          <w:sz w:val="20"/>
        </w:rPr>
        <w:t>Reviewed 15 September 2026. Explains the evaluation requirement and why private certification is not a substitute.</w:t>
      </w:r>
    </w:p>
    <w:p>
      <w:pPr>
        <w:spacing w:after="60"/>
      </w:pPr>
      <w:r/>
      <w:r>
        <w:rPr>
          <w:b/>
        </w:rPr>
        <w:t xml:space="preserve">16  </w:t>
      </w:r>
      <w:hyperlink r:id="rId25">
        <w:r>
          <w:rPr>
            <w:color w:val="145A80"/>
            <w:u w:val="single"/>
          </w:rPr>
          <w:t>ISO IEC 27701 2025</w:t>
        </w:r>
      </w:hyperlink>
    </w:p>
    <w:p>
      <w:pPr>
        <w:spacing w:after="200"/>
      </w:pPr>
      <w:r>
        <w:rPr>
          <w:sz w:val="20"/>
        </w:rPr>
        <w:t>Published October 2025. Official edition and privacy management system description.</w:t>
      </w:r>
    </w:p>
    <w:p>
      <w:pPr>
        <w:spacing w:after="60"/>
      </w:pPr>
      <w:r/>
      <w:r>
        <w:rPr>
          <w:b/>
        </w:rPr>
        <w:t xml:space="preserve">17  </w:t>
      </w:r>
      <w:hyperlink r:id="rId26">
        <w:r>
          <w:rPr>
            <w:color w:val="145A80"/>
            <w:u w:val="single"/>
          </w:rPr>
          <w:t>ISO IEC 27018 2025</w:t>
        </w:r>
      </w:hyperlink>
    </w:p>
    <w:p>
      <w:pPr>
        <w:spacing w:after="200"/>
      </w:pPr>
      <w:r>
        <w:rPr>
          <w:sz w:val="20"/>
        </w:rPr>
        <w:t>Published August 2025. Official edition and public-cloud privacy guidance description.</w:t>
      </w:r>
    </w:p>
    <w:sectPr w:rsidR="00FC693F" w:rsidRPr="0006063C" w:rsidSect="00034616">
      <w:footerReference w:type="default" r:id="rId9"/>
      <w:pgSz w:w="12240" w:h="15840"/>
      <w:pgMar w:top="893" w:right="1037" w:bottom="893" w:left="1037" w:header="346"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sz w:val="16"/>
      </w:rPr>
      <w:t xml:space="preserve">Akamai Cloud interview brief  |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40" w:line="257" w:lineRule="auto"/>
    </w:pPr>
    <w:rPr>
      <w:rFonts w:ascii="Arial" w:hAnsi="Arial"/>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140"/>
      <w:outlineLvl w:val="0"/>
    </w:pPr>
    <w:rPr>
      <w:rFonts w:asciiTheme="majorHAnsi" w:eastAsiaTheme="majorEastAsia" w:hAnsiTheme="majorHAnsi" w:cstheme="majorBidi" w:ascii="Arial" w:hAnsi="Arial"/>
      <w:b/>
      <w:bCs/>
      <w:color w:val="000000"/>
      <w:sz w:val="38"/>
      <w:szCs w:val="28"/>
    </w:rPr>
  </w:style>
  <w:style w:type="paragraph" w:styleId="Heading2">
    <w:name w:val="heading 2"/>
    <w:basedOn w:val="Normal"/>
    <w:next w:val="Normal"/>
    <w:link w:val="Heading2Char"/>
    <w:uiPriority w:val="9"/>
    <w:unhideWhenUsed/>
    <w:qFormat/>
    <w:rsid w:val="00FC693F"/>
    <w:pPr>
      <w:keepNext/>
      <w:keepLines/>
      <w:spacing w:before="220" w:after="140"/>
      <w:outlineLvl w:val="1"/>
    </w:pPr>
    <w:rPr>
      <w:rFonts w:asciiTheme="majorHAnsi" w:eastAsiaTheme="majorEastAsia" w:hAnsiTheme="majorHAnsi" w:cstheme="majorBidi" w:ascii="Arial" w:hAnsi="Arial"/>
      <w:b/>
      <w:bCs/>
      <w:color w:val="000000"/>
      <w:sz w:val="24"/>
      <w:szCs w:val="26"/>
    </w:rPr>
  </w:style>
  <w:style w:type="paragraph" w:styleId="Heading3">
    <w:name w:val="heading 3"/>
    <w:basedOn w:val="Normal"/>
    <w:next w:val="Normal"/>
    <w:link w:val="Heading3Char"/>
    <w:uiPriority w:val="9"/>
    <w:unhideWhenUsed/>
    <w:qFormat/>
    <w:rsid w:val="00FC693F"/>
    <w:pPr>
      <w:keepNext/>
      <w:keepLines/>
      <w:spacing w:before="220" w:after="140"/>
      <w:outlineLvl w:val="2"/>
    </w:pPr>
    <w:rPr>
      <w:rFonts w:asciiTheme="majorHAnsi" w:eastAsiaTheme="majorEastAsia" w:hAnsiTheme="majorHAnsi" w:cstheme="majorBidi" w:ascii="Arial" w:hAnsi="Arial"/>
      <w:b/>
      <w:bCs/>
      <w:color w:val="0000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240" w:line="240" w:lineRule="auto"/>
      <w:contextualSpacing/>
    </w:pPr>
    <w:rPr>
      <w:rFonts w:asciiTheme="majorHAnsi" w:eastAsiaTheme="majorEastAsia" w:hAnsiTheme="majorHAnsi" w:cstheme="majorBidi" w:ascii="Arial" w:hAnsi="Arial"/>
      <w:b/>
      <w:color w:val="000000"/>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260"/>
    </w:pPr>
    <w:rPr>
      <w:rFonts w:asciiTheme="majorHAnsi" w:eastAsiaTheme="majorEastAsia" w:hAnsiTheme="majorHAnsi" w:cstheme="majorBidi" w:ascii="Arial" w:hAnsi="Arial"/>
      <w:i/>
      <w:iCs/>
      <w:color w:val="000000"/>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00" w:line="250" w:lineRule="auto"/>
      <w:contextualSpacing/>
    </w:pPr>
    <w:rPr>
      <w:rFonts w:ascii="Arial" w:hAnsi="Arial"/>
      <w:color w:val="00000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100" w:line="250" w:lineRule="auto"/>
      <w:contextualSpacing/>
    </w:pPr>
    <w:rPr>
      <w:rFonts w:ascii="Arial" w:hAnsi="Arial"/>
      <w:color w:val="00000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www.akamai.com/newsroom/press-release/akamai-completes-acquisition-of-linode" TargetMode="External"/><Relationship Id="rId11" Type="http://schemas.openxmlformats.org/officeDocument/2006/relationships/hyperlink" Target="https://www.ir.akamai.com/news-releases/news-release-details/akamai-unveils-akamai-connected-cloud-and-new-cloud-computing" TargetMode="External"/><Relationship Id="rId12" Type="http://schemas.openxmlformats.org/officeDocument/2006/relationships/hyperlink" Target="https://www.akamai.com/newsroom/press-release/akamai-reports-second-quarter-2026-financial-results" TargetMode="External"/><Relationship Id="rId13" Type="http://schemas.openxmlformats.org/officeDocument/2006/relationships/hyperlink" Target="https://www.akamai.com/content/dam/site/en/documents/corporate/2024/iso-iec-27001-certification.pdf" TargetMode="External"/><Relationship Id="rId14" Type="http://schemas.openxmlformats.org/officeDocument/2006/relationships/hyperlink" Target="https://www.akamai.com/content/dam/site/en/documents/corporate/2024/iso-iec-27017-2015-certification.pdf" TargetMode="External"/><Relationship Id="rId15" Type="http://schemas.openxmlformats.org/officeDocument/2006/relationships/hyperlink" Target="https://trust.akamai.com/" TargetMode="External"/><Relationship Id="rId16" Type="http://schemas.openxmlformats.org/officeDocument/2006/relationships/hyperlink" Target="https://www.linkedin.com/jobs/view/senior-technical-program-manager-at-akamai-technologies-4449629268" TargetMode="External"/><Relationship Id="rId17" Type="http://schemas.openxmlformats.org/officeDocument/2006/relationships/hyperlink" Target="https://www.akamai.com/legal/security" TargetMode="External"/><Relationship Id="rId18" Type="http://schemas.openxmlformats.org/officeDocument/2006/relationships/hyperlink" Target="https://techdocs.akamai.com/cloud-computing/docs/welcome" TargetMode="External"/><Relationship Id="rId19" Type="http://schemas.openxmlformats.org/officeDocument/2006/relationships/hyperlink" Target="https://eur-lex.europa.eu/eli/reg_impl/2024/2690/oj/eng" TargetMode="External"/><Relationship Id="rId20" Type="http://schemas.openxmlformats.org/officeDocument/2006/relationships/hyperlink" Target="https://www.akamai.com/pt/legal/compliance" TargetMode="External"/><Relationship Id="rId21" Type="http://schemas.openxmlformats.org/officeDocument/2006/relationships/hyperlink" Target="https://www.journalofaccountancy.com/newsletters/2016/jun/3-face-of-soc/" TargetMode="External"/><Relationship Id="rId22" Type="http://schemas.openxmlformats.org/officeDocument/2006/relationships/hyperlink" Target="https://www.bsi.bund.de/EN/Themen/Unternehmen-und-Organisationen/Informationen-und-Empfehlungen/Empfehlungen-nach-Angriffszielen/Cloud-Computing/Kriterienkatalog-C5/C5-FAQ/kriterienkatalog-c5-faq.html" TargetMode="External"/><Relationship Id="rId23" Type="http://schemas.openxmlformats.org/officeDocument/2006/relationships/hyperlink" Target="https://www.hhs.gov/hipaa/for-professionals/special-topics/health-information-technology/cloud-computing/index.html" TargetMode="External"/><Relationship Id="rId24" Type="http://schemas.openxmlformats.org/officeDocument/2006/relationships/hyperlink" Target="https://www.hhs.gov/hipaa/for-professionals/faq/are-we-required-to-certify-our-organizations-compliance-with-the-standards/index.html" TargetMode="External"/><Relationship Id="rId25" Type="http://schemas.openxmlformats.org/officeDocument/2006/relationships/hyperlink" Target="https://www.iso.org/standard/27701" TargetMode="External"/><Relationship Id="rId26" Type="http://schemas.openxmlformats.org/officeDocument/2006/relationships/hyperlink" Target="https://www.iso.org/standard/27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Akamai Cloud Compliance Program Interview Brief</dc:title>
  <dc:subject>Linode integration research and proposed compliance program management approach</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